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0CD" w:rsidRDefault="000030CD" w:rsidP="000030CD">
      <w:pPr>
        <w:pStyle w:val="a7"/>
        <w:spacing w:before="0" w:beforeAutospacing="0" w:after="0" w:afterAutospacing="0"/>
        <w:jc w:val="center"/>
      </w:pPr>
      <w:r>
        <w:rPr>
          <w:rStyle w:val="a8"/>
          <w:color w:val="015FA9"/>
          <w:sz w:val="27"/>
          <w:szCs w:val="27"/>
        </w:rPr>
        <w:t>永嘉农商银行</w:t>
      </w:r>
    </w:p>
    <w:p w:rsidR="000030CD" w:rsidRDefault="000030CD" w:rsidP="000030CD">
      <w:pPr>
        <w:pStyle w:val="a7"/>
        <w:spacing w:before="0" w:beforeAutospacing="0" w:after="0" w:afterAutospacing="0"/>
        <w:jc w:val="center"/>
      </w:pPr>
      <w:r>
        <w:rPr>
          <w:rStyle w:val="a8"/>
          <w:color w:val="015FA9"/>
          <w:sz w:val="27"/>
          <w:szCs w:val="27"/>
        </w:rPr>
        <w:t>2026年第一季度</w:t>
      </w:r>
    </w:p>
    <w:p w:rsidR="000030CD" w:rsidRDefault="000030CD" w:rsidP="000030CD">
      <w:pPr>
        <w:pStyle w:val="a7"/>
        <w:spacing w:before="0" w:beforeAutospacing="0" w:after="0" w:afterAutospacing="0"/>
        <w:jc w:val="center"/>
      </w:pPr>
      <w:r>
        <w:rPr>
          <w:rStyle w:val="a8"/>
          <w:color w:val="015FA9"/>
          <w:sz w:val="27"/>
          <w:szCs w:val="27"/>
        </w:rPr>
        <w:t>第三支柱信息披露报告</w:t>
      </w:r>
    </w:p>
    <w:p w:rsidR="000030CD" w:rsidRDefault="000030CD" w:rsidP="000030CD">
      <w:pPr>
        <w:pStyle w:val="a7"/>
        <w:spacing w:before="0" w:beforeAutospacing="0" w:after="0" w:afterAutospacing="0"/>
        <w:jc w:val="center"/>
      </w:pPr>
      <w:r>
        <w:rPr>
          <w:color w:val="015FA9"/>
        </w:rPr>
        <w:br/>
      </w:r>
    </w:p>
    <w:p w:rsidR="000030CD" w:rsidRDefault="000030CD" w:rsidP="000030CD">
      <w:pPr>
        <w:pStyle w:val="a7"/>
        <w:spacing w:before="0" w:beforeAutospacing="0" w:after="0" w:afterAutospacing="0"/>
      </w:pPr>
      <w:r>
        <w:br/>
      </w:r>
    </w:p>
    <w:p w:rsidR="000030CD" w:rsidRDefault="000030CD" w:rsidP="000030CD">
      <w:pPr>
        <w:pStyle w:val="a7"/>
        <w:spacing w:before="0" w:beforeAutospacing="0" w:after="0" w:afterAutospacing="0"/>
        <w:ind w:firstLine="528"/>
      </w:pPr>
      <w:r>
        <w:t>根据国家金融监督管理总局发布的《商业银行资本管理办法》(以下简称《办法》)附件22《商业银行信息披露内容和要求》的规定，本公司按照办法第二章规定披露相关信息，本报告披露的报表经公司董事会确认。</w:t>
      </w:r>
    </w:p>
    <w:p w:rsidR="000030CD" w:rsidRDefault="000030CD" w:rsidP="000030CD">
      <w:pPr>
        <w:pStyle w:val="a7"/>
        <w:spacing w:before="0" w:beforeAutospacing="0" w:after="0" w:afterAutospacing="0"/>
      </w:pPr>
      <w:r>
        <w:br/>
      </w:r>
    </w:p>
    <w:p w:rsidR="000030CD" w:rsidRDefault="000030CD" w:rsidP="000030CD">
      <w:pPr>
        <w:pStyle w:val="a7"/>
        <w:spacing w:before="0" w:beforeAutospacing="0" w:after="0" w:afterAutospacing="0"/>
      </w:pPr>
      <w:r>
        <w:rPr>
          <w:rStyle w:val="a8"/>
          <w:i/>
          <w:iCs/>
        </w:rPr>
        <w:t>01</w:t>
      </w:r>
    </w:p>
    <w:p w:rsidR="000030CD" w:rsidRDefault="000030CD" w:rsidP="000030CD">
      <w:pPr>
        <w:pStyle w:val="a7"/>
        <w:spacing w:before="0" w:beforeAutospacing="0" w:after="0" w:afterAutospacing="0"/>
      </w:pPr>
      <w:r>
        <w:rPr>
          <w:rStyle w:val="a8"/>
        </w:rPr>
        <w:t>制度要求</w:t>
      </w:r>
    </w:p>
    <w:p w:rsidR="000030CD" w:rsidRDefault="000030CD" w:rsidP="000030CD">
      <w:pPr>
        <w:pStyle w:val="a7"/>
        <w:spacing w:before="0" w:beforeAutospacing="0" w:after="0" w:afterAutospacing="0"/>
      </w:pPr>
      <w:r>
        <w:br/>
      </w:r>
    </w:p>
    <w:p w:rsidR="000030CD" w:rsidRDefault="000030CD" w:rsidP="000030CD">
      <w:pPr>
        <w:pStyle w:val="a7"/>
        <w:spacing w:before="0" w:beforeAutospacing="0" w:after="0" w:afterAutospacing="0"/>
        <w:ind w:firstLine="528"/>
      </w:pPr>
      <w:r>
        <w:t>国家金融监督管理总局对公司各级资本充足率最低要求（含储备资本2.5%）如下:(1)核心一级资本充足率不得低于7.50%;(2)一级资本充足率不得低于8.50%;(3)资本充足率不得低于10.50%。</w:t>
      </w:r>
    </w:p>
    <w:p w:rsidR="000030CD" w:rsidRDefault="000030CD" w:rsidP="000030CD">
      <w:pPr>
        <w:pStyle w:val="a7"/>
        <w:spacing w:before="0" w:beforeAutospacing="0" w:after="0" w:afterAutospacing="0"/>
      </w:pPr>
      <w:r>
        <w:br/>
      </w:r>
    </w:p>
    <w:p w:rsidR="000030CD" w:rsidRDefault="000030CD" w:rsidP="000030CD">
      <w:pPr>
        <w:pStyle w:val="a7"/>
        <w:spacing w:before="0" w:beforeAutospacing="0" w:after="0" w:afterAutospacing="0"/>
      </w:pPr>
      <w:r>
        <w:rPr>
          <w:rStyle w:val="a8"/>
          <w:i/>
          <w:iCs/>
        </w:rPr>
        <w:t>02</w:t>
      </w:r>
    </w:p>
    <w:p w:rsidR="000030CD" w:rsidRDefault="000030CD" w:rsidP="000030CD">
      <w:pPr>
        <w:pStyle w:val="a7"/>
        <w:spacing w:before="0" w:beforeAutospacing="0" w:after="0" w:afterAutospacing="0"/>
      </w:pPr>
      <w:r>
        <w:rPr>
          <w:rStyle w:val="a8"/>
        </w:rPr>
        <w:t>资本充足率及风险资产情况</w:t>
      </w:r>
    </w:p>
    <w:p w:rsidR="000030CD" w:rsidRDefault="000030CD" w:rsidP="000030CD">
      <w:pPr>
        <w:pStyle w:val="a7"/>
        <w:spacing w:before="0" w:beforeAutospacing="0" w:after="0" w:afterAutospacing="0"/>
      </w:pPr>
      <w:r>
        <w:br/>
      </w:r>
    </w:p>
    <w:p w:rsidR="000030CD" w:rsidRDefault="000030CD" w:rsidP="000030CD">
      <w:pPr>
        <w:pStyle w:val="a7"/>
        <w:spacing w:before="0" w:beforeAutospacing="0" w:after="0" w:afterAutospacing="0"/>
        <w:ind w:firstLine="528"/>
      </w:pPr>
      <w:r>
        <w:t>按照办法规定，公司为非上市第二档商业银行，其中信用风险采用权重法计量，市场风险采用简化标准法计量，操作风险采用基本指标法计量。截至2026年3月31日，公司核心一级资本净额72.07亿元，一级资本净额72.07亿元，资本净额76.67亿元，风险加权资产418.17亿元，核心一级资本充足率为17.23%，一级资本充足率为17.23%，资本充足率为18.33%；调整后表内外资产余额687.56亿元，杠杆率为10.48%。核心一级资本充足率、一级资本充足率、资本充足率和杠杆率均高于监管部门要求的法定值。</w:t>
      </w:r>
    </w:p>
    <w:p w:rsidR="000030CD" w:rsidRDefault="000030CD" w:rsidP="000030CD">
      <w:pPr>
        <w:pStyle w:val="a7"/>
        <w:spacing w:before="0" w:beforeAutospacing="0" w:after="0" w:afterAutospacing="0"/>
        <w:ind w:firstLine="528"/>
      </w:pPr>
      <w:r>
        <w:t>根据办法规定，本季度公司需披露的报表如下：</w:t>
      </w:r>
    </w:p>
    <w:p w:rsidR="00DF2738" w:rsidRPr="000030CD" w:rsidRDefault="000030CD">
      <w:r>
        <w:rPr>
          <w:noProof/>
        </w:rPr>
        <w:lastRenderedPageBreak/>
        <w:drawing>
          <wp:inline distT="0" distB="0" distL="0" distR="0" wp14:anchorId="5B34ACB5" wp14:editId="37FFC11E">
            <wp:extent cx="5274310" cy="47485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4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30CD">
        <w:rPr>
          <w:noProof/>
        </w:rPr>
        <w:t xml:space="preserve"> </w:t>
      </w:r>
      <w:r>
        <w:rPr>
          <w:noProof/>
        </w:rPr>
        <w:drawing>
          <wp:inline distT="0" distB="0" distL="0" distR="0" wp14:anchorId="1934D730" wp14:editId="2404204C">
            <wp:extent cx="5274310" cy="336423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6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2738" w:rsidRPr="00003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C75" w:rsidRDefault="00573C75" w:rsidP="000030CD">
      <w:r>
        <w:separator/>
      </w:r>
    </w:p>
  </w:endnote>
  <w:endnote w:type="continuationSeparator" w:id="0">
    <w:p w:rsidR="00573C75" w:rsidRDefault="00573C75" w:rsidP="0000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C75" w:rsidRDefault="00573C75" w:rsidP="000030CD">
      <w:r>
        <w:separator/>
      </w:r>
    </w:p>
  </w:footnote>
  <w:footnote w:type="continuationSeparator" w:id="0">
    <w:p w:rsidR="00573C75" w:rsidRDefault="00573C75" w:rsidP="00003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9C"/>
    <w:rsid w:val="000030CD"/>
    <w:rsid w:val="00220CBA"/>
    <w:rsid w:val="00573C75"/>
    <w:rsid w:val="00CB0731"/>
    <w:rsid w:val="00CF779C"/>
    <w:rsid w:val="00D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A49C60-D423-4C0D-BF7E-618DE74A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30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3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30C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030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0030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陶静文</dc:creator>
  <cp:keywords/>
  <dc:description/>
  <cp:lastModifiedBy>陶静文</cp:lastModifiedBy>
  <cp:revision>2</cp:revision>
  <dcterms:created xsi:type="dcterms:W3CDTF">2026-05-09T07:50:00Z</dcterms:created>
  <dcterms:modified xsi:type="dcterms:W3CDTF">2026-05-09T07:51:00Z</dcterms:modified>
</cp:coreProperties>
</file>