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全南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农商银行202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14:ligatures w14:val="none"/>
        </w:rPr>
        <w:t>季度资本充足率信息披露</w:t>
      </w:r>
    </w:p>
    <w:p>
      <w:pPr>
        <w:widowControl/>
        <w:ind w:left="900" w:right="900"/>
        <w:jc w:val="left"/>
        <w:rPr>
          <w:rFonts w:hint="eastAsia" w:ascii="宋体" w:hAnsi="宋体" w:eastAsia="宋体" w:cs="宋体"/>
          <w:kern w:val="0"/>
          <w:sz w:val="18"/>
          <w:szCs w:val="18"/>
          <w:highlight w:val="none"/>
          <w14:ligatures w14:val="none"/>
        </w:rPr>
      </w:pPr>
      <w:r>
        <w:rPr>
          <w:rFonts w:ascii="宋体" w:hAnsi="宋体" w:eastAsia="宋体" w:cs="宋体"/>
          <w:kern w:val="0"/>
          <w:sz w:val="24"/>
          <w:szCs w:val="24"/>
          <w:highlight w:val="none"/>
          <w14:ligatures w14:val="none"/>
        </w:rPr>
        <w:pict>
          <v:rect id="_x0000_i1025" o:spt="1" style="height:1.5pt;width:0pt;" fillcolor="#EEEEEE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一、资本构成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  截至202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03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月末，本行的资本由核心一级资本及二级资本构成，核心一级资本由实收资本、资本公积、盈余公积、一般风险准备、未分配利润及其他综合收益构成；二级资本只有超额贷款损失准备。具体构成如下表：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    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 单位：万元</w:t>
      </w:r>
    </w:p>
    <w:tbl>
      <w:tblPr>
        <w:tblStyle w:val="7"/>
        <w:tblW w:w="8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资本构成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202</w:t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03</w:t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1.核心一级资本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72798.3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  1.1 实收资本可计入部分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16755.71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  1.2 资本公积可计入部分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425.49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  1.3 盈余公积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9550.24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  1.4 一般风险准备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12170.83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  1.5 未分配利润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33751.76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  1.6 其他综合收益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144.27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2.核心一级资本监管扣除项目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4834.06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3.核心一级资本净额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67964.24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4.一级资本净额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67964.24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5.</w:t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  <w:t>其他</w:t>
            </w: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资本(超额贷款损失准备)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28174.03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14:ligatures w14:val="none"/>
              </w:rPr>
              <w:t>   6.总资本净额</w:t>
            </w:r>
          </w:p>
        </w:tc>
        <w:tc>
          <w:tcPr>
            <w:tcW w:w="3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43333"/>
                <w:kern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ligatures w14:val="standardContextual"/>
              </w:rPr>
              <w:t>96138.27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二、风险加权资产构成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 xml:space="preserve">  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本行的风险加权资产由表内风险加权资产、表外风险加权资产及操作风险加权资产三部份构成。202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季度，本行应用资本底线及校准后的风险加权资产合计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478713.5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万元，其中表内风险加权资产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431843.44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万元，主要由存放中央银行款项、贷款、债券投资、购买同业存单、存放同业款项、长期股权投资、买入返售、应收利息、其他应收款项及固定资产净额等构成；表外风险加权资产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2020.06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万元，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主要是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风险权重75%的未使用的信用卡授信额度；操作风险加权资产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44850.0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万元，为采用“基本指标法（以最近三年的总收入为基本指标）”计量的加权操作风险。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三、资本充足率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  202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季度末，本行核心一级资本充足率及一级资本充足率均为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14.20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%，资本充足率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20.08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%。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  <w:t>                       </w:t>
      </w:r>
    </w:p>
    <w:p>
      <w:pPr>
        <w:widowControl/>
        <w:shd w:val="clear" w:color="auto" w:fill="FFFFFF"/>
        <w:spacing w:line="360" w:lineRule="atLeast"/>
        <w:ind w:firstLine="4830" w:firstLineChars="2300"/>
        <w:rPr>
          <w:rFonts w:hint="eastAsia" w:ascii="宋体" w:hAnsi="宋体" w:eastAsia="宋体" w:cs="宋体"/>
          <w:color w:val="343333"/>
          <w:kern w:val="0"/>
          <w:szCs w:val="21"/>
          <w:highlight w:val="none"/>
          <w14:ligatures w14:val="none"/>
        </w:rPr>
      </w:pPr>
    </w:p>
    <w:p>
      <w:pPr>
        <w:widowControl/>
        <w:shd w:val="clear" w:color="auto" w:fill="FFFFFF"/>
        <w:spacing w:line="360" w:lineRule="atLeast"/>
        <w:ind w:firstLine="4320" w:firstLineChars="1800"/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江西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全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eastAsia="zh-CN"/>
          <w14:ligatures w14:val="none"/>
        </w:rPr>
        <w:t>南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农村商业银行股份有限公司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               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 xml:space="preserve">               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202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6年4</w:t>
      </w:r>
      <w:bookmarkStart w:id="0" w:name="_GoBack"/>
      <w:bookmarkEnd w:id="0"/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:lang w:val="en-US" w:eastAsia="zh-CN"/>
          <w14:ligatures w14:val="none"/>
        </w:rPr>
        <w:t>27</w:t>
      </w:r>
      <w:r>
        <w:rPr>
          <w:rFonts w:hint="eastAsia" w:ascii="宋体" w:hAnsi="宋体" w:eastAsia="宋体" w:cs="宋体"/>
          <w:color w:val="343333"/>
          <w:kern w:val="0"/>
          <w:sz w:val="24"/>
          <w:szCs w:val="24"/>
          <w:highlight w:val="none"/>
          <w14:ligatures w14:val="none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A6"/>
    <w:rsid w:val="00294B90"/>
    <w:rsid w:val="00AF75A6"/>
    <w:rsid w:val="00EC0E6C"/>
    <w:rsid w:val="00F32529"/>
    <w:rsid w:val="03273136"/>
    <w:rsid w:val="03B7032D"/>
    <w:rsid w:val="048620C0"/>
    <w:rsid w:val="04DF3D1D"/>
    <w:rsid w:val="0AEE4340"/>
    <w:rsid w:val="1161634C"/>
    <w:rsid w:val="17A6735C"/>
    <w:rsid w:val="1BED2848"/>
    <w:rsid w:val="1C6C13CF"/>
    <w:rsid w:val="1F7442A7"/>
    <w:rsid w:val="21AB292C"/>
    <w:rsid w:val="22231219"/>
    <w:rsid w:val="22B23BDE"/>
    <w:rsid w:val="2518434D"/>
    <w:rsid w:val="25337EBF"/>
    <w:rsid w:val="25394958"/>
    <w:rsid w:val="26677ADE"/>
    <w:rsid w:val="291908EF"/>
    <w:rsid w:val="294E76CF"/>
    <w:rsid w:val="2B435B74"/>
    <w:rsid w:val="3085160D"/>
    <w:rsid w:val="323E71AD"/>
    <w:rsid w:val="338B345D"/>
    <w:rsid w:val="34C06945"/>
    <w:rsid w:val="35D40346"/>
    <w:rsid w:val="389B54E5"/>
    <w:rsid w:val="3D4D4C0A"/>
    <w:rsid w:val="415D7D78"/>
    <w:rsid w:val="44EC3FE1"/>
    <w:rsid w:val="4B256994"/>
    <w:rsid w:val="4B4E4F22"/>
    <w:rsid w:val="4CAE4C48"/>
    <w:rsid w:val="4D3834FE"/>
    <w:rsid w:val="4D777206"/>
    <w:rsid w:val="4F5868EF"/>
    <w:rsid w:val="58BB22AE"/>
    <w:rsid w:val="5B3F31A9"/>
    <w:rsid w:val="5D14159F"/>
    <w:rsid w:val="615C1E53"/>
    <w:rsid w:val="66466BFC"/>
    <w:rsid w:val="67125B3A"/>
    <w:rsid w:val="68A30583"/>
    <w:rsid w:val="69DA1C0A"/>
    <w:rsid w:val="6BAD5E6E"/>
    <w:rsid w:val="6C111E75"/>
    <w:rsid w:val="6E4E7B52"/>
    <w:rsid w:val="6F32698A"/>
    <w:rsid w:val="726456E7"/>
    <w:rsid w:val="72965553"/>
    <w:rsid w:val="73334E0A"/>
    <w:rsid w:val="73591AB5"/>
    <w:rsid w:val="7533390F"/>
    <w:rsid w:val="7985603A"/>
    <w:rsid w:val="7B5338E6"/>
    <w:rsid w:val="7B9863FE"/>
    <w:rsid w:val="7F4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2</TotalTime>
  <ScaleCrop>false</ScaleCrop>
  <LinksUpToDate>false</LinksUpToDate>
  <CharactersWithSpaces>931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2024-04-14T05:20:00Z</dcterms:created>
  <dc:creator>妮 徐</dc:creator>
  <cp:lastModifiedBy>Win11</cp:lastModifiedBy>
  <cp:lastPrinted>2026-01-27T07:12:00Z</cp:lastPrinted>
  <dcterms:modified xsi:type="dcterms:W3CDTF">2026-04-27T08:29:00Z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