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931F" w14:textId="77777777" w:rsidR="00277BAC" w:rsidRDefault="008F1225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美的集团财务有限公司</w:t>
      </w:r>
    </w:p>
    <w:p w14:paraId="73FD5837" w14:textId="77777777" w:rsidR="00277BAC" w:rsidRDefault="008F1225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2</w:t>
      </w:r>
      <w:r>
        <w:rPr>
          <w:rFonts w:ascii="宋体" w:eastAsia="宋体" w:hAnsi="宋体"/>
          <w:b/>
          <w:sz w:val="36"/>
          <w:szCs w:val="36"/>
        </w:rPr>
        <w:t>02</w:t>
      </w:r>
      <w:r>
        <w:rPr>
          <w:rFonts w:ascii="宋体" w:eastAsia="宋体" w:hAnsi="宋体" w:hint="eastAsia"/>
          <w:b/>
          <w:sz w:val="36"/>
          <w:szCs w:val="36"/>
        </w:rPr>
        <w:t>6</w:t>
      </w:r>
      <w:r>
        <w:rPr>
          <w:rFonts w:ascii="宋体" w:eastAsia="宋体" w:hAnsi="宋体" w:hint="eastAsia"/>
          <w:b/>
          <w:sz w:val="36"/>
          <w:szCs w:val="36"/>
        </w:rPr>
        <w:t>年</w:t>
      </w:r>
      <w:r>
        <w:rPr>
          <w:rFonts w:ascii="宋体" w:eastAsia="宋体" w:hAnsi="宋体" w:hint="eastAsia"/>
          <w:b/>
          <w:sz w:val="36"/>
          <w:szCs w:val="36"/>
        </w:rPr>
        <w:t>第</w:t>
      </w:r>
      <w:r>
        <w:rPr>
          <w:rFonts w:ascii="宋体" w:eastAsia="宋体" w:hAnsi="宋体" w:hint="eastAsia"/>
          <w:b/>
          <w:sz w:val="36"/>
          <w:szCs w:val="36"/>
        </w:rPr>
        <w:t>一季度第三支柱信息披露报告</w:t>
      </w:r>
    </w:p>
    <w:p w14:paraId="11A79FA9" w14:textId="77777777" w:rsidR="00277BAC" w:rsidRDefault="00277BAC">
      <w:pPr>
        <w:rPr>
          <w:rFonts w:ascii="宋体" w:eastAsia="宋体" w:hAnsi="宋体"/>
          <w:b/>
          <w:sz w:val="36"/>
          <w:szCs w:val="36"/>
        </w:rPr>
      </w:pPr>
    </w:p>
    <w:p w14:paraId="4EF3199F" w14:textId="06919111" w:rsidR="00277BAC" w:rsidRDefault="008F12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美的集团财务有限公司（下文简称“公司”）为</w:t>
      </w:r>
      <w:proofErr w:type="gramStart"/>
      <w:r>
        <w:rPr>
          <w:rFonts w:ascii="仿宋" w:eastAsia="仿宋" w:hAnsi="仿宋" w:hint="eastAsia"/>
          <w:sz w:val="32"/>
          <w:szCs w:val="32"/>
        </w:rPr>
        <w:t>非国内</w:t>
      </w:r>
      <w:proofErr w:type="gramEnd"/>
      <w:r>
        <w:rPr>
          <w:rFonts w:ascii="仿宋" w:eastAsia="仿宋" w:hAnsi="仿宋" w:hint="eastAsia"/>
          <w:sz w:val="32"/>
          <w:szCs w:val="32"/>
        </w:rPr>
        <w:t>系统重要性银行，根据《商业银行资本管理办法》（以下简称“办法”）附件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《商业银行信息披露内容和要求》的规定，公司现按照办法规定的范围及内容披露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年一季度第三支柱信息。</w:t>
      </w:r>
      <w:r w:rsidRPr="007C63B2">
        <w:rPr>
          <w:rFonts w:ascii="仿宋" w:eastAsia="仿宋" w:hAnsi="仿宋" w:hint="eastAsia"/>
          <w:sz w:val="32"/>
          <w:szCs w:val="32"/>
        </w:rPr>
        <w:t>2</w:t>
      </w:r>
      <w:r w:rsidRPr="007C63B2">
        <w:rPr>
          <w:rFonts w:ascii="仿宋" w:eastAsia="仿宋" w:hAnsi="仿宋"/>
          <w:sz w:val="32"/>
          <w:szCs w:val="32"/>
        </w:rPr>
        <w:t>02</w:t>
      </w:r>
      <w:r w:rsidRPr="007C63B2">
        <w:rPr>
          <w:rFonts w:ascii="仿宋" w:eastAsia="仿宋" w:hAnsi="仿宋" w:hint="eastAsia"/>
          <w:sz w:val="32"/>
          <w:szCs w:val="32"/>
        </w:rPr>
        <w:t>6</w:t>
      </w:r>
      <w:r w:rsidRPr="007C63B2">
        <w:rPr>
          <w:rFonts w:ascii="仿宋" w:eastAsia="仿宋" w:hAnsi="仿宋" w:hint="eastAsia"/>
          <w:sz w:val="32"/>
          <w:szCs w:val="32"/>
        </w:rPr>
        <w:t>年</w:t>
      </w:r>
      <w:r w:rsidR="007C63B2" w:rsidRPr="007C63B2">
        <w:rPr>
          <w:rFonts w:ascii="仿宋" w:eastAsia="仿宋" w:hAnsi="仿宋"/>
          <w:sz w:val="32"/>
          <w:szCs w:val="32"/>
        </w:rPr>
        <w:t>04</w:t>
      </w:r>
      <w:r w:rsidRPr="007C63B2">
        <w:rPr>
          <w:rFonts w:ascii="仿宋" w:eastAsia="仿宋" w:hAnsi="仿宋" w:hint="eastAsia"/>
          <w:sz w:val="32"/>
          <w:szCs w:val="32"/>
        </w:rPr>
        <w:t>月</w:t>
      </w:r>
      <w:r w:rsidR="007C63B2" w:rsidRPr="007C63B2">
        <w:rPr>
          <w:rFonts w:ascii="仿宋" w:eastAsia="仿宋" w:hAnsi="仿宋"/>
          <w:sz w:val="32"/>
          <w:szCs w:val="32"/>
        </w:rPr>
        <w:t>27</w:t>
      </w:r>
      <w:r w:rsidRPr="007C63B2">
        <w:rPr>
          <w:rFonts w:ascii="仿宋" w:eastAsia="仿宋" w:hAnsi="仿宋" w:hint="eastAsia"/>
          <w:sz w:val="32"/>
          <w:szCs w:val="32"/>
        </w:rPr>
        <w:t>日</w:t>
      </w:r>
      <w:r w:rsidRPr="007C63B2">
        <w:rPr>
          <w:rFonts w:ascii="仿宋" w:eastAsia="仿宋" w:hAnsi="仿宋" w:hint="eastAsia"/>
          <w:sz w:val="32"/>
          <w:szCs w:val="32"/>
        </w:rPr>
        <w:t>，</w:t>
      </w:r>
      <w:r w:rsidRPr="007C63B2">
        <w:rPr>
          <w:rFonts w:ascii="仿宋" w:eastAsia="仿宋" w:hAnsi="仿宋" w:hint="eastAsia"/>
          <w:sz w:val="32"/>
          <w:szCs w:val="32"/>
        </w:rPr>
        <w:t>公司第</w:t>
      </w:r>
      <w:r w:rsidR="007C63B2" w:rsidRPr="007C63B2">
        <w:rPr>
          <w:rFonts w:ascii="仿宋" w:eastAsia="仿宋" w:hAnsi="仿宋" w:hint="eastAsia"/>
          <w:sz w:val="32"/>
          <w:szCs w:val="32"/>
        </w:rPr>
        <w:t>十</w:t>
      </w:r>
      <w:r w:rsidRPr="007C63B2">
        <w:rPr>
          <w:rFonts w:ascii="仿宋" w:eastAsia="仿宋" w:hAnsi="仿宋" w:hint="eastAsia"/>
          <w:sz w:val="32"/>
          <w:szCs w:val="32"/>
        </w:rPr>
        <w:t>届董事会第</w:t>
      </w:r>
      <w:r w:rsidR="007C63B2" w:rsidRPr="007C63B2">
        <w:rPr>
          <w:rFonts w:ascii="仿宋" w:eastAsia="仿宋" w:hAnsi="仿宋" w:hint="eastAsia"/>
          <w:sz w:val="32"/>
          <w:szCs w:val="32"/>
        </w:rPr>
        <w:t>二十</w:t>
      </w:r>
      <w:r w:rsidRPr="007C63B2">
        <w:rPr>
          <w:rFonts w:ascii="仿宋" w:eastAsia="仿宋" w:hAnsi="仿宋" w:hint="eastAsia"/>
          <w:sz w:val="32"/>
          <w:szCs w:val="32"/>
        </w:rPr>
        <w:t>次会议</w:t>
      </w:r>
      <w:r>
        <w:rPr>
          <w:rFonts w:ascii="仿宋" w:eastAsia="仿宋" w:hAnsi="仿宋" w:hint="eastAsia"/>
          <w:sz w:val="32"/>
          <w:szCs w:val="32"/>
        </w:rPr>
        <w:t>审计通过了本报告。</w:t>
      </w:r>
    </w:p>
    <w:p w14:paraId="3139CC0A" w14:textId="77777777" w:rsidR="00277BAC" w:rsidRDefault="008F12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年一季度公司需披露的报表如下：</w:t>
      </w:r>
    </w:p>
    <w:p w14:paraId="3670FE16" w14:textId="77777777" w:rsidR="00277BAC" w:rsidRDefault="008F1225">
      <w:pPr>
        <w:rPr>
          <w:rFonts w:ascii="仿宋" w:eastAsia="仿宋" w:hAnsi="仿宋" w:cs="Arial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>附表一、</w:t>
      </w:r>
      <w:r>
        <w:rPr>
          <w:rFonts w:ascii="仿宋" w:eastAsia="仿宋" w:hAnsi="仿宋" w:cs="Arial"/>
          <w:b/>
          <w:color w:val="000000"/>
          <w:kern w:val="0"/>
          <w:sz w:val="32"/>
          <w:szCs w:val="32"/>
        </w:rPr>
        <w:t>KM1</w:t>
      </w:r>
      <w:r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>：监管并</w:t>
      </w:r>
      <w:proofErr w:type="gramStart"/>
      <w:r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>表关键</w:t>
      </w:r>
      <w:proofErr w:type="gramEnd"/>
      <w:r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>审慎监管指标</w:t>
      </w:r>
    </w:p>
    <w:p w14:paraId="5B274656" w14:textId="77777777" w:rsidR="00277BAC" w:rsidRDefault="008F1225">
      <w:pPr>
        <w:rPr>
          <w:rFonts w:ascii="仿宋" w:eastAsia="仿宋" w:hAnsi="仿宋" w:cs="Arial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Arial"/>
          <w:b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ascii="仿宋" w:eastAsia="仿宋" w:hAnsi="仿宋" w:cs="Arial"/>
          <w:b/>
          <w:color w:val="000000"/>
          <w:kern w:val="0"/>
          <w:sz w:val="24"/>
          <w:szCs w:val="24"/>
        </w:rPr>
        <w:t xml:space="preserve">      </w:t>
      </w:r>
      <w:r>
        <w:rPr>
          <w:rFonts w:ascii="仿宋" w:eastAsia="仿宋" w:hAnsi="仿宋" w:cs="Arial" w:hint="eastAsia"/>
          <w:b/>
          <w:color w:val="000000"/>
          <w:kern w:val="0"/>
          <w:sz w:val="24"/>
          <w:szCs w:val="24"/>
        </w:rPr>
        <w:t>单位：万元</w:t>
      </w:r>
      <w:r>
        <w:rPr>
          <w:rFonts w:ascii="仿宋" w:eastAsia="仿宋" w:hAnsi="仿宋" w:cs="Arial" w:hint="eastAsia"/>
          <w:b/>
          <w:color w:val="000000"/>
          <w:kern w:val="0"/>
          <w:sz w:val="24"/>
          <w:szCs w:val="24"/>
        </w:rPr>
        <w:t>/</w:t>
      </w:r>
      <w:r>
        <w:rPr>
          <w:rFonts w:ascii="仿宋" w:eastAsia="仿宋" w:hAnsi="仿宋" w:cs="Arial"/>
          <w:b/>
          <w:color w:val="000000"/>
          <w:kern w:val="0"/>
          <w:sz w:val="24"/>
          <w:szCs w:val="24"/>
        </w:rPr>
        <w:t>%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516"/>
        <w:gridCol w:w="1698"/>
        <w:gridCol w:w="1216"/>
        <w:gridCol w:w="1216"/>
        <w:gridCol w:w="1216"/>
        <w:gridCol w:w="1216"/>
        <w:gridCol w:w="1216"/>
      </w:tblGrid>
      <w:tr w:rsidR="00277BAC" w14:paraId="2DF4A97D" w14:textId="77777777">
        <w:trPr>
          <w:trHeight w:val="260"/>
        </w:trPr>
        <w:tc>
          <w:tcPr>
            <w:tcW w:w="139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F00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项目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\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期数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1935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3FA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2E9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325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C7C6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</w:tr>
      <w:tr w:rsidR="00277BAC" w14:paraId="4E384112" w14:textId="77777777">
        <w:trPr>
          <w:trHeight w:val="260"/>
        </w:trPr>
        <w:tc>
          <w:tcPr>
            <w:tcW w:w="139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52A4" w14:textId="77777777" w:rsidR="00277BAC" w:rsidRDefault="00277BAC">
            <w:pPr>
              <w:jc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033B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202603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1EC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202512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4C8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202509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F6C2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202506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CF5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202503</w:t>
            </w:r>
          </w:p>
        </w:tc>
      </w:tr>
      <w:tr w:rsidR="00277BAC" w14:paraId="12D38D00" w14:textId="77777777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D5497B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可用资本（数额）</w:t>
            </w:r>
          </w:p>
        </w:tc>
      </w:tr>
      <w:tr w:rsidR="00277BAC" w14:paraId="22FC8E19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90C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7DF1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核心一级资本净额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DB7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789863.86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44E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784455.59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664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777930.24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CCA5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767335.76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141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746667.72</w:t>
            </w:r>
          </w:p>
        </w:tc>
      </w:tr>
      <w:tr w:rsidR="00277BAC" w14:paraId="62395338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8A1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9F68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一级资本净额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C4C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789863.86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9715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784455.59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6EF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777930.24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445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767335.76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382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746667.72</w:t>
            </w:r>
          </w:p>
        </w:tc>
      </w:tr>
      <w:tr w:rsidR="00277BAC" w14:paraId="4D915876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2AC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A048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资本净额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2043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799464.87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FD7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787883.41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107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783912.62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3A5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773481.12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25E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761896.94</w:t>
            </w:r>
          </w:p>
        </w:tc>
      </w:tr>
      <w:tr w:rsidR="00277BAC" w14:paraId="024F9318" w14:textId="77777777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D6A0F93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风险加权资产（数额）</w:t>
            </w:r>
          </w:p>
        </w:tc>
      </w:tr>
      <w:tr w:rsidR="00277BAC" w14:paraId="641EB92D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A02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C0BC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风险加权资产合计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D29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1608295.76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14D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1221585.08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16F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1286946.58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737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2107145.51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756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2677694.45</w:t>
            </w:r>
          </w:p>
        </w:tc>
      </w:tr>
      <w:tr w:rsidR="00277BAC" w14:paraId="6FA15D94" w14:textId="77777777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7F7B25B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资本充足率</w:t>
            </w:r>
          </w:p>
        </w:tc>
      </w:tr>
      <w:tr w:rsidR="00277BAC" w14:paraId="2FEAAC70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F1C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67EA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核心一级资本充足率（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E59B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49.11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581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64.22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1B7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60.45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D9C2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36.42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C20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27.88</w:t>
            </w:r>
          </w:p>
        </w:tc>
      </w:tr>
      <w:tr w:rsidR="00277BAC" w14:paraId="0E228C34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5B9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BD71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一级资本充足率（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583F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49.11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D5D2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64.22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5FB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60.45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E8C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36.42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609B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27.88</w:t>
            </w:r>
          </w:p>
        </w:tc>
      </w:tr>
      <w:tr w:rsidR="00277BAC" w14:paraId="5D49F818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EE6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04C1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资本充足率（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598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49.71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375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64.50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8EB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60.91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B916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36.71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F33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28.45</w:t>
            </w:r>
          </w:p>
        </w:tc>
      </w:tr>
      <w:tr w:rsidR="00277BAC" w14:paraId="2DC37B1F" w14:textId="77777777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408BA4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其他各级资本要求</w:t>
            </w:r>
          </w:p>
        </w:tc>
      </w:tr>
      <w:tr w:rsidR="00277BAC" w14:paraId="0BC2F5C1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14A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0848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储备资本要求（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C983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2.50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F37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2.50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4EC4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2.50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B50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2.50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0F1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2.50</w:t>
            </w:r>
          </w:p>
        </w:tc>
      </w:tr>
      <w:tr w:rsidR="00277BAC" w14:paraId="0586F893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3B0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D392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逆周期资本要求（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19E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FA2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A864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EF2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2B6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77BAC" w14:paraId="51856AC3" w14:textId="77777777">
        <w:trPr>
          <w:trHeight w:val="7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36E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9126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全球系统重要性银行或国内系统重要性银行附加资本要求（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783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3D1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E6D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860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9C14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77BAC" w14:paraId="534C9030" w14:textId="77777777">
        <w:trPr>
          <w:trHeight w:val="52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C252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393F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其他各级资本要求（</w:t>
            </w:r>
            <w:r>
              <w:rPr>
                <w:rStyle w:val="font31"/>
                <w:rFonts w:hAnsi="Arial"/>
                <w:lang w:bidi="ar"/>
              </w:rPr>
              <w:t>%</w:t>
            </w:r>
            <w:r>
              <w:rPr>
                <w:rStyle w:val="font51"/>
                <w:rFonts w:hint="default"/>
                <w:lang w:bidi="ar"/>
              </w:rPr>
              <w:t>）</w:t>
            </w:r>
            <w:r>
              <w:rPr>
                <w:rStyle w:val="font31"/>
                <w:rFonts w:hAnsi="Arial"/>
                <w:lang w:bidi="ar"/>
              </w:rPr>
              <w:t>(8+9+10)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9B4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2.50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F6B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2.50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109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2.50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9A0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2.50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1C3F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2.50</w:t>
            </w:r>
          </w:p>
        </w:tc>
      </w:tr>
      <w:tr w:rsidR="00277BAC" w14:paraId="6D97A043" w14:textId="77777777">
        <w:trPr>
          <w:trHeight w:val="7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B612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A749" w14:textId="77777777" w:rsidR="00277BAC" w:rsidRDefault="008F12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满足最低资本要求后的可用核心一级资本净额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占风险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加权资产的比例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912B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41.71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458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56.50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9FE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52.91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F90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28.71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713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20.45 </w:t>
            </w:r>
          </w:p>
        </w:tc>
      </w:tr>
      <w:tr w:rsidR="00277BAC" w14:paraId="0F6FEE0E" w14:textId="77777777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680A7F8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杠杆率</w:t>
            </w:r>
          </w:p>
        </w:tc>
      </w:tr>
      <w:tr w:rsidR="00277BAC" w14:paraId="65697F58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EF2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FCCB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调整后表内外资产余额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1882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5507052.67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F5CB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4660361.77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60A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4551884.70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667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7840776.20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BD03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7980785.88</w:t>
            </w:r>
          </w:p>
        </w:tc>
      </w:tr>
      <w:tr w:rsidR="00277BAC" w14:paraId="3363872A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81E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BBB7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杠杆率（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7AD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14.34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C4A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16.83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F886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17.09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3D96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9.79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7AF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9.36</w:t>
            </w:r>
          </w:p>
        </w:tc>
      </w:tr>
      <w:tr w:rsidR="00277BAC" w14:paraId="66E5C04D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ED7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14a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6FF1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杠杆率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E77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14.34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60D5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16.83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541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17.09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F73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9.79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546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9.36</w:t>
            </w:r>
          </w:p>
        </w:tc>
      </w:tr>
      <w:tr w:rsidR="00277BAC" w14:paraId="03D77895" w14:textId="77777777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6BE766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流动性覆盖率</w:t>
            </w:r>
          </w:p>
        </w:tc>
      </w:tr>
      <w:tr w:rsidR="00277BAC" w14:paraId="4A5394CE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259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2601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合格优质流动性资产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9AE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7CD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119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8F12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8553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277BAC" w14:paraId="633FDC23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1C03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A74F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现金净流出量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9183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2A7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AD7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8546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BD85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277BAC" w14:paraId="25E60D9C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D4D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7689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流动性覆盖率（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A30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82B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348D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54A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525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277BAC" w14:paraId="70AE7ADD" w14:textId="77777777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8ED76F0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净稳定</w:t>
            </w:r>
            <w:proofErr w:type="gramEnd"/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资金比例</w:t>
            </w:r>
          </w:p>
        </w:tc>
      </w:tr>
      <w:tr w:rsidR="00277BAC" w14:paraId="695962FA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2266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F5AD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可用稳定资金合计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BF9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05A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1F56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5616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053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277BAC" w14:paraId="40C93FF4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EB2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BCAF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所需稳定资金合计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2D6C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970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4DB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C4DE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B3D2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277BAC" w14:paraId="02E04E34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7E4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DDEA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净稳定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资金比例（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63C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3E10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9D3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323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23E4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277BAC" w14:paraId="7E87C795" w14:textId="77777777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52CDB46A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流动性比例</w:t>
            </w:r>
          </w:p>
        </w:tc>
      </w:tr>
      <w:tr w:rsidR="00277BAC" w14:paraId="40A2858E" w14:textId="77777777">
        <w:trPr>
          <w:trHeight w:val="26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2EFA9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84DD4" w14:textId="77777777" w:rsidR="00277BAC" w:rsidRDefault="008F122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流动性比例（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899D1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88.73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4DFCA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103.55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777F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 xml:space="preserve">106.81 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5F67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97.92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6168" w14:textId="77777777" w:rsidR="00277BAC" w:rsidRDefault="008F122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 w:bidi="ar"/>
              </w:rPr>
              <w:t>71.89</w:t>
            </w:r>
          </w:p>
        </w:tc>
      </w:tr>
    </w:tbl>
    <w:p w14:paraId="4599DFFC" w14:textId="77777777" w:rsidR="00277BAC" w:rsidRDefault="00277BAC">
      <w:pPr>
        <w:widowControl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sectPr w:rsidR="00277B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6F21" w14:textId="77777777" w:rsidR="008F1225" w:rsidRDefault="008F1225">
      <w:r>
        <w:separator/>
      </w:r>
    </w:p>
  </w:endnote>
  <w:endnote w:type="continuationSeparator" w:id="0">
    <w:p w14:paraId="17933639" w14:textId="77777777" w:rsidR="008F1225" w:rsidRDefault="008F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664203"/>
    </w:sdtPr>
    <w:sdtEndPr/>
    <w:sdtContent>
      <w:sdt>
        <w:sdtPr>
          <w:id w:val="1728636285"/>
        </w:sdtPr>
        <w:sdtEndPr/>
        <w:sdtContent>
          <w:p w14:paraId="2592909B" w14:textId="77777777" w:rsidR="00277BAC" w:rsidRDefault="008F122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8E70B8" w14:textId="77777777" w:rsidR="00277BAC" w:rsidRDefault="00277B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08D2" w14:textId="77777777" w:rsidR="008F1225" w:rsidRDefault="008F1225">
      <w:r>
        <w:separator/>
      </w:r>
    </w:p>
  </w:footnote>
  <w:footnote w:type="continuationSeparator" w:id="0">
    <w:p w14:paraId="4D582467" w14:textId="77777777" w:rsidR="008F1225" w:rsidRDefault="008F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BC"/>
    <w:rsid w:val="000E0516"/>
    <w:rsid w:val="00197E41"/>
    <w:rsid w:val="002441FB"/>
    <w:rsid w:val="00277218"/>
    <w:rsid w:val="00277BAC"/>
    <w:rsid w:val="002967ED"/>
    <w:rsid w:val="002C6FA3"/>
    <w:rsid w:val="00344109"/>
    <w:rsid w:val="003666D4"/>
    <w:rsid w:val="00377363"/>
    <w:rsid w:val="003E6795"/>
    <w:rsid w:val="0042596C"/>
    <w:rsid w:val="00441AB2"/>
    <w:rsid w:val="004E1AA4"/>
    <w:rsid w:val="004E54A5"/>
    <w:rsid w:val="0050219B"/>
    <w:rsid w:val="005E267A"/>
    <w:rsid w:val="00637632"/>
    <w:rsid w:val="006E786E"/>
    <w:rsid w:val="006F135B"/>
    <w:rsid w:val="007B6FFD"/>
    <w:rsid w:val="007C63B2"/>
    <w:rsid w:val="008264C6"/>
    <w:rsid w:val="0086459A"/>
    <w:rsid w:val="008C4871"/>
    <w:rsid w:val="008F1225"/>
    <w:rsid w:val="009860A1"/>
    <w:rsid w:val="00995475"/>
    <w:rsid w:val="009D2EF7"/>
    <w:rsid w:val="00A06005"/>
    <w:rsid w:val="00A427A9"/>
    <w:rsid w:val="00AF07EF"/>
    <w:rsid w:val="00BB6E9C"/>
    <w:rsid w:val="00BE0580"/>
    <w:rsid w:val="00CC5E7D"/>
    <w:rsid w:val="00CE6AFE"/>
    <w:rsid w:val="00D021E6"/>
    <w:rsid w:val="00DA6876"/>
    <w:rsid w:val="00DB3BE2"/>
    <w:rsid w:val="00E02633"/>
    <w:rsid w:val="00E9615F"/>
    <w:rsid w:val="00EA56D9"/>
    <w:rsid w:val="00F54AFB"/>
    <w:rsid w:val="00F94DBC"/>
    <w:rsid w:val="04813A8C"/>
    <w:rsid w:val="34DE5F5F"/>
    <w:rsid w:val="62BC60B4"/>
    <w:rsid w:val="6B6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6130"/>
  <w15:docId w15:val="{CB8D1531-5D9E-402D-A367-34DA8299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71">
    <w:name w:val="font71"/>
    <w:basedOn w:val="a0"/>
    <w:rPr>
      <w:rFonts w:ascii="Arial" w:hAnsi="Arial" w:cs="Arial"/>
      <w:color w:val="000000"/>
      <w:sz w:val="28"/>
      <w:szCs w:val="2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E747-F0AB-46E5-89FB-6CB18CFB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Midea</dc:creator>
  <cp:lastModifiedBy>MIDEA</cp:lastModifiedBy>
  <cp:revision>32</cp:revision>
  <dcterms:created xsi:type="dcterms:W3CDTF">2024-04-28T01:11:00Z</dcterms:created>
  <dcterms:modified xsi:type="dcterms:W3CDTF">2026-04-27T08:05:00Z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eyJoZGlkIjoiYmNlN2E3YjliNzQyMDlmZTIyMDc0ODhkMDVkZjQ5MGEiLCJ1c2VySWQiOiI0MTMwNzc4MjMifQ==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525981208A2343C989D87C94AF47C2E7_12</vt:lpwstr>
  </property>
</Properties>
</file>