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7B9" w:rsidRPr="000777B9" w:rsidRDefault="000777B9" w:rsidP="000777B9">
      <w:pPr>
        <w:widowControl/>
        <w:jc w:val="center"/>
        <w:textAlignment w:val="baseline"/>
        <w:outlineLvl w:val="0"/>
        <w:rPr>
          <w:rFonts w:ascii="inherit" w:eastAsia="宋体" w:hAnsi="inherit" w:cs="Helvetica"/>
          <w:b/>
          <w:bCs/>
          <w:color w:val="222222"/>
          <w:spacing w:val="5"/>
          <w:kern w:val="36"/>
          <w:sz w:val="48"/>
          <w:szCs w:val="48"/>
        </w:rPr>
      </w:pPr>
      <w:r w:rsidRPr="000777B9">
        <w:rPr>
          <w:rFonts w:ascii="inherit" w:eastAsia="宋体" w:hAnsi="inherit" w:cs="Helvetica"/>
          <w:b/>
          <w:bCs/>
          <w:color w:val="222222"/>
          <w:spacing w:val="5"/>
          <w:kern w:val="36"/>
          <w:sz w:val="48"/>
          <w:szCs w:val="48"/>
        </w:rPr>
        <w:t>中兴通讯集团财务有限公司</w:t>
      </w:r>
      <w:r w:rsidRPr="000777B9">
        <w:rPr>
          <w:rFonts w:ascii="inherit" w:eastAsia="宋体" w:hAnsi="inherit" w:cs="Helvetica"/>
          <w:b/>
          <w:bCs/>
          <w:color w:val="222222"/>
          <w:spacing w:val="5"/>
          <w:kern w:val="36"/>
          <w:sz w:val="48"/>
          <w:szCs w:val="48"/>
        </w:rPr>
        <w:t>2026</w:t>
      </w:r>
      <w:r w:rsidRPr="000777B9">
        <w:rPr>
          <w:rFonts w:ascii="inherit" w:eastAsia="宋体" w:hAnsi="inherit" w:cs="Helvetica"/>
          <w:b/>
          <w:bCs/>
          <w:color w:val="222222"/>
          <w:spacing w:val="5"/>
          <w:kern w:val="36"/>
          <w:sz w:val="48"/>
          <w:szCs w:val="48"/>
        </w:rPr>
        <w:t>年第一季度第三支柱信息披露报告</w:t>
      </w:r>
    </w:p>
    <w:p w:rsidR="000777B9" w:rsidRPr="000777B9" w:rsidRDefault="000777B9" w:rsidP="000777B9">
      <w:pPr>
        <w:widowControl/>
        <w:jc w:val="center"/>
        <w:textAlignment w:val="baseline"/>
        <w:rPr>
          <w:rFonts w:ascii="Helvetica" w:eastAsia="宋体" w:hAnsi="Helvetica" w:cs="Helvetica"/>
          <w:color w:val="333333"/>
          <w:spacing w:val="5"/>
          <w:kern w:val="0"/>
          <w:sz w:val="12"/>
          <w:szCs w:val="12"/>
        </w:rPr>
      </w:pPr>
      <w:r w:rsidRPr="000777B9">
        <w:rPr>
          <w:rFonts w:ascii="inherit" w:eastAsia="宋体" w:hAnsi="inherit" w:cs="Helvetica"/>
          <w:color w:val="666666"/>
          <w:spacing w:val="5"/>
          <w:kern w:val="0"/>
          <w:sz w:val="12"/>
          <w:szCs w:val="12"/>
          <w:bdr w:val="none" w:sz="0" w:space="0" w:color="auto" w:frame="1"/>
        </w:rPr>
        <w:t>发布时间：</w:t>
      </w:r>
      <w:r w:rsidRPr="000777B9">
        <w:rPr>
          <w:rFonts w:ascii="inherit" w:eastAsia="宋体" w:hAnsi="inherit" w:cs="Helvetica"/>
          <w:color w:val="666666"/>
          <w:spacing w:val="5"/>
          <w:kern w:val="0"/>
          <w:sz w:val="12"/>
          <w:szCs w:val="12"/>
          <w:bdr w:val="none" w:sz="0" w:space="0" w:color="auto" w:frame="1"/>
        </w:rPr>
        <w:t>2026-04-30</w:t>
      </w:r>
    </w:p>
    <w:p w:rsidR="000777B9" w:rsidRPr="000777B9" w:rsidRDefault="000777B9" w:rsidP="000777B9">
      <w:pPr>
        <w:widowControl/>
        <w:jc w:val="left"/>
        <w:textAlignment w:val="baseline"/>
        <w:rPr>
          <w:rFonts w:ascii="inherit" w:eastAsia="宋体" w:hAnsi="inherit" w:cs="Helvetica"/>
          <w:color w:val="666666"/>
          <w:spacing w:val="5"/>
          <w:kern w:val="0"/>
          <w:sz w:val="12"/>
          <w:szCs w:val="12"/>
        </w:rPr>
      </w:pPr>
      <w:r w:rsidRPr="000777B9">
        <w:rPr>
          <w:rFonts w:ascii="inherit" w:eastAsia="宋体" w:hAnsi="inherit" w:cs="Helvetica"/>
          <w:color w:val="666666"/>
          <w:spacing w:val="5"/>
          <w:kern w:val="0"/>
          <w:sz w:val="12"/>
          <w:szCs w:val="12"/>
        </w:rPr>
        <w:t>       </w:t>
      </w:r>
      <w:r w:rsidRPr="000777B9">
        <w:rPr>
          <w:rFonts w:ascii="inherit" w:eastAsia="宋体" w:hAnsi="inherit" w:cs="Helvetica"/>
          <w:color w:val="666666"/>
          <w:spacing w:val="5"/>
          <w:kern w:val="0"/>
          <w:sz w:val="12"/>
          <w:szCs w:val="12"/>
        </w:rPr>
        <w:t>根据《商业银行资本管理办法》（以下简称办法）及其附件</w:t>
      </w:r>
      <w:r w:rsidRPr="000777B9">
        <w:rPr>
          <w:rFonts w:ascii="inherit" w:eastAsia="宋体" w:hAnsi="inherit" w:cs="Helvetica"/>
          <w:color w:val="666666"/>
          <w:spacing w:val="5"/>
          <w:kern w:val="0"/>
          <w:sz w:val="12"/>
          <w:szCs w:val="12"/>
        </w:rPr>
        <w:t>22</w:t>
      </w:r>
      <w:r w:rsidRPr="000777B9">
        <w:rPr>
          <w:rFonts w:ascii="inherit" w:eastAsia="宋体" w:hAnsi="inherit" w:cs="Helvetica"/>
          <w:color w:val="666666"/>
          <w:spacing w:val="5"/>
          <w:kern w:val="0"/>
          <w:sz w:val="12"/>
          <w:szCs w:val="12"/>
        </w:rPr>
        <w:t>《商业银行信息披露内容和要求》的规定，中兴通讯集团财务有限公司（以下简称公司）按照办法第二章规定的并表范围披露相关信息。</w:t>
      </w:r>
    </w:p>
    <w:p w:rsidR="000777B9" w:rsidRPr="000777B9" w:rsidRDefault="000777B9" w:rsidP="000777B9">
      <w:pPr>
        <w:widowControl/>
        <w:jc w:val="left"/>
        <w:textAlignment w:val="baseline"/>
        <w:rPr>
          <w:rFonts w:ascii="inherit" w:eastAsia="宋体" w:hAnsi="inherit" w:cs="Helvetica"/>
          <w:color w:val="666666"/>
          <w:spacing w:val="5"/>
          <w:kern w:val="0"/>
          <w:sz w:val="12"/>
          <w:szCs w:val="12"/>
        </w:rPr>
      </w:pPr>
      <w:r w:rsidRPr="000777B9">
        <w:rPr>
          <w:rFonts w:ascii="inherit" w:eastAsia="宋体" w:hAnsi="inherit" w:cs="Helvetica"/>
          <w:color w:val="666666"/>
          <w:spacing w:val="5"/>
          <w:kern w:val="0"/>
          <w:sz w:val="12"/>
          <w:szCs w:val="12"/>
        </w:rPr>
        <w:t>       </w:t>
      </w:r>
      <w:r w:rsidRPr="000777B9">
        <w:rPr>
          <w:rFonts w:ascii="inherit" w:eastAsia="宋体" w:hAnsi="inherit" w:cs="Helvetica"/>
          <w:color w:val="666666"/>
          <w:spacing w:val="5"/>
          <w:kern w:val="0"/>
          <w:sz w:val="12"/>
          <w:szCs w:val="12"/>
        </w:rPr>
        <w:t>公司适用第二档非上市银行过渡期披露要求，</w:t>
      </w:r>
      <w:r w:rsidRPr="000777B9">
        <w:rPr>
          <w:rFonts w:ascii="inherit" w:eastAsia="宋体" w:hAnsi="inherit" w:cs="Helvetica"/>
          <w:color w:val="666666"/>
          <w:spacing w:val="5"/>
          <w:kern w:val="0"/>
          <w:sz w:val="12"/>
          <w:szCs w:val="12"/>
        </w:rPr>
        <w:t>2026</w:t>
      </w:r>
      <w:r w:rsidRPr="000777B9">
        <w:rPr>
          <w:rFonts w:ascii="inherit" w:eastAsia="宋体" w:hAnsi="inherit" w:cs="Helvetica"/>
          <w:color w:val="666666"/>
          <w:spacing w:val="5"/>
          <w:kern w:val="0"/>
          <w:sz w:val="12"/>
          <w:szCs w:val="12"/>
        </w:rPr>
        <w:t>年第一季度需披露的表格如下：</w:t>
      </w:r>
    </w:p>
    <w:p w:rsidR="000777B9" w:rsidRPr="000777B9" w:rsidRDefault="000777B9" w:rsidP="000777B9">
      <w:pPr>
        <w:widowControl/>
        <w:jc w:val="center"/>
        <w:textAlignment w:val="baseline"/>
        <w:rPr>
          <w:rFonts w:ascii="inherit" w:eastAsia="宋体" w:hAnsi="inherit" w:cs="Helvetica"/>
          <w:color w:val="666666"/>
          <w:spacing w:val="5"/>
          <w:kern w:val="0"/>
          <w:sz w:val="12"/>
          <w:szCs w:val="12"/>
        </w:rPr>
      </w:pPr>
      <w:r w:rsidRPr="000777B9">
        <w:rPr>
          <w:rFonts w:ascii="inherit" w:eastAsia="宋体" w:hAnsi="inherit" w:cs="Helvetica"/>
          <w:color w:val="666666"/>
          <w:spacing w:val="5"/>
          <w:kern w:val="0"/>
          <w:sz w:val="12"/>
          <w:szCs w:val="12"/>
        </w:rPr>
        <w:t>表格</w:t>
      </w:r>
      <w:r w:rsidRPr="000777B9">
        <w:rPr>
          <w:rFonts w:ascii="inherit" w:eastAsia="宋体" w:hAnsi="inherit" w:cs="Helvetica"/>
          <w:color w:val="666666"/>
          <w:spacing w:val="5"/>
          <w:kern w:val="0"/>
          <w:sz w:val="12"/>
          <w:szCs w:val="12"/>
        </w:rPr>
        <w:t>KM1</w:t>
      </w:r>
      <w:r w:rsidRPr="000777B9">
        <w:rPr>
          <w:rFonts w:ascii="inherit" w:eastAsia="宋体" w:hAnsi="inherit" w:cs="Helvetica"/>
          <w:color w:val="666666"/>
          <w:spacing w:val="5"/>
          <w:kern w:val="0"/>
          <w:sz w:val="12"/>
          <w:szCs w:val="12"/>
        </w:rPr>
        <w:t>：监管并表关键审慎监管指标</w:t>
      </w:r>
    </w:p>
    <w:p w:rsidR="000777B9" w:rsidRPr="000777B9" w:rsidRDefault="000777B9" w:rsidP="000777B9">
      <w:pPr>
        <w:widowControl/>
        <w:jc w:val="right"/>
        <w:textAlignment w:val="baseline"/>
        <w:rPr>
          <w:rFonts w:ascii="inherit" w:eastAsia="宋体" w:hAnsi="inherit" w:cs="Helvetica"/>
          <w:color w:val="666666"/>
          <w:spacing w:val="5"/>
          <w:kern w:val="0"/>
          <w:sz w:val="12"/>
          <w:szCs w:val="12"/>
        </w:rPr>
      </w:pPr>
      <w:r w:rsidRPr="000777B9">
        <w:rPr>
          <w:rFonts w:ascii="inherit" w:eastAsia="宋体" w:hAnsi="inherit" w:cs="Helvetica"/>
          <w:color w:val="666666"/>
          <w:spacing w:val="5"/>
          <w:kern w:val="0"/>
          <w:sz w:val="12"/>
          <w:szCs w:val="12"/>
        </w:rPr>
        <w:t>                                </w:t>
      </w:r>
      <w:r w:rsidRPr="000777B9">
        <w:rPr>
          <w:rFonts w:ascii="inherit" w:eastAsia="宋体" w:hAnsi="inherit" w:cs="Helvetica"/>
          <w:color w:val="666666"/>
          <w:spacing w:val="5"/>
          <w:kern w:val="0"/>
          <w:sz w:val="12"/>
          <w:szCs w:val="12"/>
        </w:rPr>
        <w:t>单位：人民币万元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98"/>
        <w:gridCol w:w="1447"/>
        <w:gridCol w:w="1326"/>
        <w:gridCol w:w="1326"/>
        <w:gridCol w:w="1326"/>
        <w:gridCol w:w="1326"/>
        <w:gridCol w:w="1163"/>
      </w:tblGrid>
      <w:tr w:rsidR="000777B9" w:rsidRPr="000777B9" w:rsidTr="000777B9">
        <w:tc>
          <w:tcPr>
            <w:tcW w:w="426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center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 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center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a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center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b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center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c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center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d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center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e</w:t>
            </w:r>
          </w:p>
        </w:tc>
      </w:tr>
      <w:tr w:rsidR="000777B9" w:rsidRPr="000777B9" w:rsidTr="000777B9"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0777B9" w:rsidRPr="000777B9" w:rsidRDefault="000777B9" w:rsidP="000777B9">
            <w:pPr>
              <w:widowControl/>
              <w:jc w:val="left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center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2026</w:t>
            </w: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年</w:t>
            </w:r>
          </w:p>
          <w:p w:rsidR="000777B9" w:rsidRPr="000777B9" w:rsidRDefault="000777B9" w:rsidP="000777B9">
            <w:pPr>
              <w:widowControl/>
              <w:jc w:val="center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3</w:t>
            </w: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月</w:t>
            </w: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31</w:t>
            </w: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日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center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2025</w:t>
            </w: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年</w:t>
            </w:r>
          </w:p>
          <w:p w:rsidR="000777B9" w:rsidRPr="000777B9" w:rsidRDefault="000777B9" w:rsidP="000777B9">
            <w:pPr>
              <w:widowControl/>
              <w:jc w:val="center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12</w:t>
            </w: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月</w:t>
            </w: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31</w:t>
            </w: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日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center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2025</w:t>
            </w: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年</w:t>
            </w:r>
          </w:p>
          <w:p w:rsidR="000777B9" w:rsidRPr="000777B9" w:rsidRDefault="000777B9" w:rsidP="000777B9">
            <w:pPr>
              <w:widowControl/>
              <w:jc w:val="center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9</w:t>
            </w: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月</w:t>
            </w: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30</w:t>
            </w: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日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center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2025</w:t>
            </w: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年</w:t>
            </w:r>
          </w:p>
          <w:p w:rsidR="000777B9" w:rsidRPr="000777B9" w:rsidRDefault="000777B9" w:rsidP="000777B9">
            <w:pPr>
              <w:widowControl/>
              <w:jc w:val="center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6</w:t>
            </w: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月</w:t>
            </w: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30</w:t>
            </w: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日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center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2025</w:t>
            </w: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年</w:t>
            </w:r>
          </w:p>
          <w:p w:rsidR="000777B9" w:rsidRPr="000777B9" w:rsidRDefault="000777B9" w:rsidP="000777B9">
            <w:pPr>
              <w:widowControl/>
              <w:jc w:val="center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3</w:t>
            </w: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月</w:t>
            </w: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31</w:t>
            </w: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日</w:t>
            </w:r>
          </w:p>
        </w:tc>
      </w:tr>
      <w:tr w:rsidR="000777B9" w:rsidRPr="000777B9" w:rsidTr="000777B9">
        <w:tc>
          <w:tcPr>
            <w:tcW w:w="4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left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b/>
                <w:bCs/>
                <w:color w:val="666666"/>
                <w:kern w:val="0"/>
                <w:sz w:val="24"/>
                <w:szCs w:val="24"/>
                <w:bdr w:val="none" w:sz="0" w:space="0" w:color="auto" w:frame="1"/>
              </w:rPr>
              <w:t>可用资本（数额）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left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b/>
                <w:bCs/>
                <w:color w:val="666666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left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b/>
                <w:bCs/>
                <w:color w:val="666666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left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b/>
                <w:bCs/>
                <w:color w:val="666666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left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b/>
                <w:bCs/>
                <w:color w:val="666666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left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b/>
                <w:bCs/>
                <w:color w:val="666666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0777B9" w:rsidRPr="000777B9" w:rsidTr="000777B9"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center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1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left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核心一级资本净额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center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182,325.41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center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181,373.59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center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183,820.58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center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186,725.00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center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185,869.81</w:t>
            </w:r>
          </w:p>
        </w:tc>
      </w:tr>
      <w:tr w:rsidR="000777B9" w:rsidRPr="000777B9" w:rsidTr="000777B9"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center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2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left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一级资本净额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center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182,325.41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center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181,373.59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center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183,820.58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center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186,725.00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center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185,869.81</w:t>
            </w:r>
          </w:p>
        </w:tc>
      </w:tr>
      <w:tr w:rsidR="000777B9" w:rsidRPr="000777B9" w:rsidTr="000777B9"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center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3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left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资本净额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center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194,575.87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center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193,148.18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center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190,167.52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center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186,738.95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center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186,193.79</w:t>
            </w:r>
          </w:p>
        </w:tc>
      </w:tr>
      <w:tr w:rsidR="000777B9" w:rsidRPr="000777B9" w:rsidTr="000777B9">
        <w:tc>
          <w:tcPr>
            <w:tcW w:w="4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left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b/>
                <w:bCs/>
                <w:color w:val="666666"/>
                <w:kern w:val="0"/>
                <w:sz w:val="24"/>
                <w:szCs w:val="24"/>
                <w:bdr w:val="none" w:sz="0" w:space="0" w:color="auto" w:frame="1"/>
              </w:rPr>
              <w:t>风险加权资产（数额）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left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b/>
                <w:bCs/>
                <w:color w:val="666666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left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b/>
                <w:bCs/>
                <w:color w:val="666666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left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b/>
                <w:bCs/>
                <w:color w:val="666666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left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b/>
                <w:bCs/>
                <w:color w:val="666666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left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b/>
                <w:bCs/>
                <w:color w:val="666666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0777B9" w:rsidRPr="000777B9" w:rsidTr="000777B9"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center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4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left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风险加权资产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center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1,048,938.17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center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1,085,800.96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center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732,432.41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center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478,386.94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center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274,369.89</w:t>
            </w:r>
          </w:p>
        </w:tc>
      </w:tr>
      <w:tr w:rsidR="000777B9" w:rsidRPr="000777B9" w:rsidTr="000777B9">
        <w:tc>
          <w:tcPr>
            <w:tcW w:w="4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left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b/>
                <w:bCs/>
                <w:color w:val="666666"/>
                <w:kern w:val="0"/>
                <w:sz w:val="24"/>
                <w:szCs w:val="24"/>
                <w:bdr w:val="none" w:sz="0" w:space="0" w:color="auto" w:frame="1"/>
              </w:rPr>
              <w:t>资本充足率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left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b/>
                <w:bCs/>
                <w:color w:val="666666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left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b/>
                <w:bCs/>
                <w:color w:val="666666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left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b/>
                <w:bCs/>
                <w:color w:val="666666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left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b/>
                <w:bCs/>
                <w:color w:val="666666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left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b/>
                <w:bCs/>
                <w:color w:val="666666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0777B9" w:rsidRPr="000777B9" w:rsidTr="000777B9"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center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5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left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核心一级资本充足率（</w:t>
            </w: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%</w:t>
            </w: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）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center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17.38%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center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16.70%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center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25.10%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center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39.03%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center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67.74%</w:t>
            </w:r>
          </w:p>
        </w:tc>
      </w:tr>
      <w:tr w:rsidR="000777B9" w:rsidRPr="000777B9" w:rsidTr="000777B9"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center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6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left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一级资本充足率（</w:t>
            </w: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%</w:t>
            </w: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）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center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17.38%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center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16.70%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center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25.10%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center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39.03%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center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67.74%</w:t>
            </w:r>
          </w:p>
        </w:tc>
      </w:tr>
      <w:tr w:rsidR="000777B9" w:rsidRPr="000777B9" w:rsidTr="000777B9"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center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7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left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资本充足率（</w:t>
            </w: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%</w:t>
            </w: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）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center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18.55%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center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17.79%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center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25.96%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center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39.04%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center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67.86%</w:t>
            </w:r>
          </w:p>
        </w:tc>
      </w:tr>
      <w:tr w:rsidR="000777B9" w:rsidRPr="000777B9" w:rsidTr="000777B9">
        <w:tc>
          <w:tcPr>
            <w:tcW w:w="4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left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b/>
                <w:bCs/>
                <w:color w:val="666666"/>
                <w:kern w:val="0"/>
                <w:sz w:val="24"/>
                <w:szCs w:val="24"/>
                <w:bdr w:val="none" w:sz="0" w:space="0" w:color="auto" w:frame="1"/>
              </w:rPr>
              <w:t>其他各级资本要求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left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b/>
                <w:bCs/>
                <w:color w:val="666666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left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b/>
                <w:bCs/>
                <w:color w:val="666666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left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b/>
                <w:bCs/>
                <w:color w:val="666666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left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b/>
                <w:bCs/>
                <w:color w:val="666666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left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b/>
                <w:bCs/>
                <w:color w:val="666666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0777B9" w:rsidRPr="000777B9" w:rsidTr="000777B9"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center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8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left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储备资本要求（</w:t>
            </w: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%</w:t>
            </w: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）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center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2.50%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center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2.50%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center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2.50%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center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2.50%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center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2.50%</w:t>
            </w:r>
          </w:p>
        </w:tc>
      </w:tr>
      <w:tr w:rsidR="000777B9" w:rsidRPr="000777B9" w:rsidTr="000777B9"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center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9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left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逆周期资本要求（</w:t>
            </w: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%</w:t>
            </w: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）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center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0.00%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center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0.00%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center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0.00%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center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0.00%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center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0.00%</w:t>
            </w:r>
          </w:p>
        </w:tc>
      </w:tr>
      <w:tr w:rsidR="000777B9" w:rsidRPr="000777B9" w:rsidTr="000777B9"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center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10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left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全球系统重要性银行或国内系统重要性银行附加资本要求（</w:t>
            </w: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%</w:t>
            </w: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）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center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b/>
                <w:bCs/>
                <w:color w:val="666666"/>
                <w:kern w:val="0"/>
                <w:sz w:val="24"/>
                <w:szCs w:val="24"/>
                <w:bdr w:val="none" w:sz="0" w:space="0" w:color="auto" w:frame="1"/>
              </w:rPr>
              <w:t>/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center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b/>
                <w:bCs/>
                <w:color w:val="666666"/>
                <w:kern w:val="0"/>
                <w:sz w:val="24"/>
                <w:szCs w:val="24"/>
                <w:bdr w:val="none" w:sz="0" w:space="0" w:color="auto" w:frame="1"/>
              </w:rPr>
              <w:t>/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center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b/>
                <w:bCs/>
                <w:color w:val="666666"/>
                <w:kern w:val="0"/>
                <w:sz w:val="24"/>
                <w:szCs w:val="24"/>
                <w:bdr w:val="none" w:sz="0" w:space="0" w:color="auto" w:frame="1"/>
              </w:rPr>
              <w:t>/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center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b/>
                <w:bCs/>
                <w:color w:val="666666"/>
                <w:kern w:val="0"/>
                <w:sz w:val="24"/>
                <w:szCs w:val="24"/>
                <w:bdr w:val="none" w:sz="0" w:space="0" w:color="auto" w:frame="1"/>
              </w:rPr>
              <w:t>/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center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b/>
                <w:bCs/>
                <w:color w:val="666666"/>
                <w:kern w:val="0"/>
                <w:sz w:val="24"/>
                <w:szCs w:val="24"/>
                <w:bdr w:val="none" w:sz="0" w:space="0" w:color="auto" w:frame="1"/>
              </w:rPr>
              <w:t>/</w:t>
            </w:r>
          </w:p>
        </w:tc>
      </w:tr>
      <w:tr w:rsidR="000777B9" w:rsidRPr="000777B9" w:rsidTr="000777B9"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center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11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left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其他各级资本要求（</w:t>
            </w: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%</w:t>
            </w: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）（</w:t>
            </w: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8+9+10</w:t>
            </w: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）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center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2.50%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center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2.50%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center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2.50%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center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2.50%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center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2.50%</w:t>
            </w:r>
          </w:p>
        </w:tc>
      </w:tr>
      <w:tr w:rsidR="000777B9" w:rsidRPr="000777B9" w:rsidTr="000777B9"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center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12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left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满足最低资本要求后的可用</w:t>
            </w: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lastRenderedPageBreak/>
              <w:t>核心一级资本净额占风险加权资产的比例（</w:t>
            </w: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%</w:t>
            </w: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）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center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lastRenderedPageBreak/>
              <w:t>10.55%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center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9.79%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center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17.96%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center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31.04%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center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59.86%</w:t>
            </w:r>
          </w:p>
        </w:tc>
      </w:tr>
      <w:tr w:rsidR="000777B9" w:rsidRPr="000777B9" w:rsidTr="000777B9">
        <w:tc>
          <w:tcPr>
            <w:tcW w:w="4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left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b/>
                <w:bCs/>
                <w:color w:val="666666"/>
                <w:kern w:val="0"/>
                <w:sz w:val="24"/>
                <w:szCs w:val="24"/>
                <w:bdr w:val="none" w:sz="0" w:space="0" w:color="auto" w:frame="1"/>
              </w:rPr>
              <w:lastRenderedPageBreak/>
              <w:t>杠杆率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left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b/>
                <w:bCs/>
                <w:color w:val="666666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left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b/>
                <w:bCs/>
                <w:color w:val="666666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left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b/>
                <w:bCs/>
                <w:color w:val="666666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left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b/>
                <w:bCs/>
                <w:color w:val="666666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left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b/>
                <w:bCs/>
                <w:color w:val="666666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0777B9" w:rsidRPr="000777B9" w:rsidTr="000777B9"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center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13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left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调整后表内外资产余额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center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2,336,301.76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center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2,773,184.58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center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2,117,165.60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center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1,709,480.92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center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731,021.25</w:t>
            </w:r>
          </w:p>
        </w:tc>
      </w:tr>
      <w:tr w:rsidR="000777B9" w:rsidRPr="000777B9" w:rsidTr="000777B9"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center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14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left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杠杆率（</w:t>
            </w: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%</w:t>
            </w: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）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center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7.80%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center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6.54%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center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8.68%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center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10.92%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center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25.43%</w:t>
            </w:r>
          </w:p>
        </w:tc>
      </w:tr>
      <w:tr w:rsidR="000777B9" w:rsidRPr="000777B9" w:rsidTr="000777B9"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center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14a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left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杠杆率</w:t>
            </w: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a</w:t>
            </w: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（</w:t>
            </w: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%</w:t>
            </w: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）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center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7.80%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center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6.54%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center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8.68%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center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10.92%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center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25.43%</w:t>
            </w:r>
          </w:p>
        </w:tc>
      </w:tr>
      <w:tr w:rsidR="000777B9" w:rsidRPr="000777B9" w:rsidTr="000777B9">
        <w:tc>
          <w:tcPr>
            <w:tcW w:w="4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left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b/>
                <w:bCs/>
                <w:color w:val="666666"/>
                <w:kern w:val="0"/>
                <w:sz w:val="24"/>
                <w:szCs w:val="24"/>
                <w:bdr w:val="none" w:sz="0" w:space="0" w:color="auto" w:frame="1"/>
              </w:rPr>
              <w:t>流动性覆盖率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left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b/>
                <w:bCs/>
                <w:color w:val="666666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left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b/>
                <w:bCs/>
                <w:color w:val="666666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left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b/>
                <w:bCs/>
                <w:color w:val="666666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left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b/>
                <w:bCs/>
                <w:color w:val="666666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left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b/>
                <w:bCs/>
                <w:color w:val="666666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0777B9" w:rsidRPr="000777B9" w:rsidTr="000777B9"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center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15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left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合格优质流动性资产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center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不适用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center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不适用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center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不适用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center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不适用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center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不适用</w:t>
            </w:r>
          </w:p>
        </w:tc>
      </w:tr>
      <w:tr w:rsidR="000777B9" w:rsidRPr="000777B9" w:rsidTr="000777B9"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center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16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left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现金净流出量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center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不适用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center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不适用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center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不适用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center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不适用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center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不适用</w:t>
            </w:r>
          </w:p>
        </w:tc>
      </w:tr>
      <w:tr w:rsidR="000777B9" w:rsidRPr="000777B9" w:rsidTr="000777B9"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center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17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left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流动性覆盖率（</w:t>
            </w: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%</w:t>
            </w: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）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center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不适用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center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不适用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center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不适用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center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不适用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center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不适用</w:t>
            </w:r>
          </w:p>
        </w:tc>
      </w:tr>
      <w:tr w:rsidR="000777B9" w:rsidRPr="000777B9" w:rsidTr="000777B9">
        <w:tc>
          <w:tcPr>
            <w:tcW w:w="4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left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b/>
                <w:bCs/>
                <w:color w:val="666666"/>
                <w:kern w:val="0"/>
                <w:sz w:val="24"/>
                <w:szCs w:val="24"/>
                <w:bdr w:val="none" w:sz="0" w:space="0" w:color="auto" w:frame="1"/>
              </w:rPr>
              <w:t>净稳定资金比例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left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b/>
                <w:bCs/>
                <w:color w:val="666666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left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b/>
                <w:bCs/>
                <w:color w:val="666666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left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b/>
                <w:bCs/>
                <w:color w:val="666666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left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b/>
                <w:bCs/>
                <w:color w:val="666666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left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b/>
                <w:bCs/>
                <w:color w:val="666666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0777B9" w:rsidRPr="000777B9" w:rsidTr="000777B9"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center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18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left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可用稳定资金合计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center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不适用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center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不适用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center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不适用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center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不适用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center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不适用</w:t>
            </w:r>
          </w:p>
        </w:tc>
      </w:tr>
      <w:tr w:rsidR="000777B9" w:rsidRPr="000777B9" w:rsidTr="000777B9"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center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19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left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所需稳定资金合计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center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不适用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center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不适用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center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不适用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center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不适用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center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不适用</w:t>
            </w:r>
          </w:p>
        </w:tc>
      </w:tr>
      <w:tr w:rsidR="000777B9" w:rsidRPr="000777B9" w:rsidTr="000777B9"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center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20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left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净稳定资金比例（</w:t>
            </w: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%</w:t>
            </w: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）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center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不适用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center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不适用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center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不适用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center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不适用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center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不适用</w:t>
            </w:r>
          </w:p>
        </w:tc>
      </w:tr>
      <w:tr w:rsidR="000777B9" w:rsidRPr="000777B9" w:rsidTr="000777B9">
        <w:tc>
          <w:tcPr>
            <w:tcW w:w="4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left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b/>
                <w:bCs/>
                <w:color w:val="666666"/>
                <w:kern w:val="0"/>
                <w:sz w:val="24"/>
                <w:szCs w:val="24"/>
                <w:bdr w:val="none" w:sz="0" w:space="0" w:color="auto" w:frame="1"/>
              </w:rPr>
              <w:t>流动性比例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left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b/>
                <w:bCs/>
                <w:color w:val="666666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left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b/>
                <w:bCs/>
                <w:color w:val="666666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left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b/>
                <w:bCs/>
                <w:color w:val="666666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left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b/>
                <w:bCs/>
                <w:color w:val="666666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left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b/>
                <w:bCs/>
                <w:color w:val="666666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0777B9" w:rsidRPr="000777B9" w:rsidTr="000777B9"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center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21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left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流动性比例（</w:t>
            </w: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%</w:t>
            </w: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）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center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98.35%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center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103.86%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center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111.06%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center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107.58%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777B9" w:rsidRPr="000777B9" w:rsidRDefault="000777B9" w:rsidP="000777B9">
            <w:pPr>
              <w:widowControl/>
              <w:jc w:val="center"/>
              <w:textAlignment w:val="baseline"/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</w:pPr>
            <w:r w:rsidRPr="000777B9">
              <w:rPr>
                <w:rFonts w:ascii="inherit" w:eastAsia="宋体" w:hAnsi="inherit" w:cs="宋体"/>
                <w:color w:val="666666"/>
                <w:kern w:val="0"/>
                <w:sz w:val="24"/>
                <w:szCs w:val="24"/>
              </w:rPr>
              <w:t>106.68%</w:t>
            </w:r>
          </w:p>
        </w:tc>
      </w:tr>
    </w:tbl>
    <w:p w:rsidR="00567818" w:rsidRDefault="00567818"/>
    <w:sectPr w:rsidR="005678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7818" w:rsidRDefault="00567818" w:rsidP="000777B9">
      <w:r>
        <w:separator/>
      </w:r>
    </w:p>
  </w:endnote>
  <w:endnote w:type="continuationSeparator" w:id="1">
    <w:p w:rsidR="00567818" w:rsidRDefault="00567818" w:rsidP="000777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7818" w:rsidRDefault="00567818" w:rsidP="000777B9">
      <w:r>
        <w:separator/>
      </w:r>
    </w:p>
  </w:footnote>
  <w:footnote w:type="continuationSeparator" w:id="1">
    <w:p w:rsidR="00567818" w:rsidRDefault="00567818" w:rsidP="000777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77B9"/>
    <w:rsid w:val="000777B9"/>
    <w:rsid w:val="00567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0777B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777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777B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777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777B9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0777B9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unhideWhenUsed/>
    <w:rsid w:val="000777B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8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6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84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7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刘胜媛</dc:creator>
  <cp:keywords/>
  <dc:description/>
  <cp:lastModifiedBy>刘胜媛</cp:lastModifiedBy>
  <cp:revision>3</cp:revision>
  <dcterms:created xsi:type="dcterms:W3CDTF">2026-05-04T01:02:00Z</dcterms:created>
  <dcterms:modified xsi:type="dcterms:W3CDTF">2026-05-04T01:03:00Z</dcterms:modified>
</cp:coreProperties>
</file>