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8DD" w:rsidRPr="00FD58DD" w:rsidRDefault="00FD58DD" w:rsidP="00FD58DD">
      <w:pPr>
        <w:widowControl/>
        <w:shd w:val="clear" w:color="auto" w:fill="FFFFFF"/>
        <w:jc w:val="left"/>
        <w:rPr>
          <w:rFonts w:ascii="微软雅黑" w:eastAsia="微软雅黑" w:hAnsi="微软雅黑" w:cs="宋体"/>
          <w:color w:val="000000"/>
          <w:kern w:val="0"/>
          <w:sz w:val="24"/>
          <w:szCs w:val="24"/>
        </w:rPr>
      </w:pPr>
      <w:r w:rsidRPr="00FD58DD">
        <w:rPr>
          <w:rFonts w:ascii="微软雅黑" w:eastAsia="微软雅黑" w:hAnsi="微软雅黑" w:cs="宋体"/>
          <w:noProof/>
          <w:color w:val="000000"/>
          <w:kern w:val="0"/>
          <w:sz w:val="24"/>
          <w:szCs w:val="24"/>
        </w:rPr>
        <w:drawing>
          <wp:inline distT="0" distB="0" distL="0" distR="0">
            <wp:extent cx="3981450" cy="1000125"/>
            <wp:effectExtent l="0" t="0" r="0" b="9525"/>
            <wp:docPr id="5" name="图片 5" descr="http://www.zjhnrb.com/static/images/logo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jhnrb.com/static/images/logoal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0" cy="1000125"/>
                    </a:xfrm>
                    <a:prstGeom prst="rect">
                      <a:avLst/>
                    </a:prstGeom>
                    <a:noFill/>
                    <a:ln>
                      <a:noFill/>
                    </a:ln>
                  </pic:spPr>
                </pic:pic>
              </a:graphicData>
            </a:graphic>
          </wp:inline>
        </w:drawing>
      </w:r>
    </w:p>
    <w:p w:rsidR="00FD58DD" w:rsidRPr="00FD58DD" w:rsidRDefault="00FD58DD" w:rsidP="00FD58DD">
      <w:pPr>
        <w:widowControl/>
        <w:shd w:val="clear" w:color="auto" w:fill="FFFFFF"/>
        <w:jc w:val="left"/>
        <w:rPr>
          <w:rFonts w:ascii="微软雅黑" w:eastAsia="微软雅黑" w:hAnsi="微软雅黑" w:cs="宋体" w:hint="eastAsia"/>
          <w:color w:val="000000"/>
          <w:kern w:val="0"/>
          <w:sz w:val="24"/>
          <w:szCs w:val="24"/>
        </w:rPr>
      </w:pPr>
      <w:r w:rsidRPr="00FD58DD">
        <w:rPr>
          <w:rFonts w:ascii="微软雅黑" w:eastAsia="微软雅黑" w:hAnsi="微软雅黑" w:cs="宋体"/>
          <w:noProof/>
          <w:color w:val="000000"/>
          <w:kern w:val="0"/>
          <w:sz w:val="24"/>
          <w:szCs w:val="24"/>
        </w:rPr>
        <w:drawing>
          <wp:inline distT="0" distB="0" distL="0" distR="0">
            <wp:extent cx="1885950" cy="400050"/>
            <wp:effectExtent l="0" t="0" r="0" b="0"/>
            <wp:docPr id="4" name="图片 4" descr="http://www.zjhnrb.com/static/images/yw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jhnrb.com/static/images/yw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400050"/>
                    </a:xfrm>
                    <a:prstGeom prst="rect">
                      <a:avLst/>
                    </a:prstGeom>
                    <a:noFill/>
                    <a:ln>
                      <a:noFill/>
                    </a:ln>
                  </pic:spPr>
                </pic:pic>
              </a:graphicData>
            </a:graphic>
          </wp:inline>
        </w:drawing>
      </w:r>
    </w:p>
    <w:p w:rsidR="00FD58DD" w:rsidRPr="00FD58DD" w:rsidRDefault="00FD58DD" w:rsidP="00FD58DD">
      <w:pPr>
        <w:widowControl/>
        <w:shd w:val="clear" w:color="auto" w:fill="FFFFFF"/>
        <w:jc w:val="left"/>
        <w:rPr>
          <w:rFonts w:ascii="微软雅黑" w:eastAsia="微软雅黑" w:hAnsi="微软雅黑" w:cs="宋体" w:hint="eastAsia"/>
          <w:color w:val="000000"/>
          <w:kern w:val="0"/>
          <w:sz w:val="24"/>
          <w:szCs w:val="24"/>
        </w:rPr>
      </w:pPr>
      <w:r w:rsidRPr="00FD58DD">
        <w:rPr>
          <w:rFonts w:ascii="微软雅黑" w:eastAsia="微软雅黑" w:hAnsi="微软雅黑" w:cs="宋体"/>
          <w:noProof/>
          <w:color w:val="000000"/>
          <w:kern w:val="0"/>
          <w:sz w:val="24"/>
          <w:szCs w:val="24"/>
        </w:rPr>
        <w:drawing>
          <wp:inline distT="0" distB="0" distL="0" distR="0">
            <wp:extent cx="2686050" cy="361950"/>
            <wp:effectExtent l="0" t="0" r="0" b="0"/>
            <wp:docPr id="3" name="图片 3" descr="http://www.zjhnrb.com/static/images/lsz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jhnrb.com/static/images/lsz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6050" cy="361950"/>
                    </a:xfrm>
                    <a:prstGeom prst="rect">
                      <a:avLst/>
                    </a:prstGeom>
                    <a:noFill/>
                    <a:ln>
                      <a:noFill/>
                    </a:ln>
                  </pic:spPr>
                </pic:pic>
              </a:graphicData>
            </a:graphic>
          </wp:inline>
        </w:drawing>
      </w:r>
    </w:p>
    <w:p w:rsidR="00FD58DD" w:rsidRPr="00FD58DD" w:rsidRDefault="00FD58DD" w:rsidP="00FD58DD">
      <w:pPr>
        <w:widowControl/>
        <w:shd w:val="clear" w:color="auto" w:fill="122C4C"/>
        <w:jc w:val="left"/>
        <w:rPr>
          <w:rFonts w:ascii="宋体" w:eastAsia="宋体" w:hAnsi="宋体" w:cs="宋体" w:hint="eastAsia"/>
          <w:color w:val="8BE044"/>
          <w:kern w:val="0"/>
          <w:sz w:val="24"/>
          <w:szCs w:val="24"/>
        </w:rPr>
      </w:pPr>
      <w:r w:rsidRPr="00FD58DD">
        <w:rPr>
          <w:rFonts w:ascii="微软雅黑" w:eastAsia="微软雅黑" w:hAnsi="微软雅黑" w:cs="宋体"/>
          <w:color w:val="000000"/>
          <w:kern w:val="0"/>
          <w:sz w:val="24"/>
          <w:szCs w:val="24"/>
        </w:rPr>
        <w:fldChar w:fldCharType="begin"/>
      </w:r>
      <w:r w:rsidRPr="00FD58DD">
        <w:rPr>
          <w:rFonts w:ascii="微软雅黑" w:eastAsia="微软雅黑" w:hAnsi="微软雅黑" w:cs="宋体"/>
          <w:color w:val="000000"/>
          <w:kern w:val="0"/>
          <w:sz w:val="24"/>
          <w:szCs w:val="24"/>
        </w:rPr>
        <w:instrText xml:space="preserve"> HYPERLINK "http://www.zjhnrb.com/" </w:instrText>
      </w:r>
      <w:r w:rsidRPr="00FD58DD">
        <w:rPr>
          <w:rFonts w:ascii="微软雅黑" w:eastAsia="微软雅黑" w:hAnsi="微软雅黑" w:cs="宋体"/>
          <w:color w:val="000000"/>
          <w:kern w:val="0"/>
          <w:sz w:val="24"/>
          <w:szCs w:val="24"/>
        </w:rPr>
        <w:fldChar w:fldCharType="separate"/>
      </w:r>
    </w:p>
    <w:p w:rsidR="00FD58DD" w:rsidRPr="00FD58DD" w:rsidRDefault="00FD58DD" w:rsidP="00FD58DD">
      <w:pPr>
        <w:widowControl/>
        <w:shd w:val="clear" w:color="auto" w:fill="122C4C"/>
        <w:jc w:val="left"/>
        <w:rPr>
          <w:rFonts w:ascii="宋体" w:eastAsia="宋体" w:hAnsi="宋体" w:cs="宋体" w:hint="eastAsia"/>
          <w:color w:val="FFFFFF"/>
          <w:kern w:val="0"/>
          <w:sz w:val="24"/>
          <w:szCs w:val="24"/>
        </w:rPr>
      </w:pPr>
      <w:r w:rsidRPr="00FD58DD">
        <w:rPr>
          <w:rFonts w:ascii="微软雅黑" w:eastAsia="微软雅黑" w:hAnsi="微软雅黑" w:cs="宋体" w:hint="eastAsia"/>
          <w:color w:val="FFFFFF"/>
          <w:kern w:val="0"/>
          <w:sz w:val="24"/>
          <w:szCs w:val="24"/>
        </w:rPr>
        <w:t>首页</w:t>
      </w:r>
    </w:p>
    <w:p w:rsidR="00FD58DD" w:rsidRPr="00FD58DD" w:rsidRDefault="00FD58DD" w:rsidP="00FD58DD">
      <w:pPr>
        <w:widowControl/>
        <w:shd w:val="clear" w:color="auto" w:fill="122C4C"/>
        <w:jc w:val="left"/>
        <w:rPr>
          <w:rFonts w:ascii="微软雅黑" w:eastAsia="微软雅黑" w:hAnsi="微软雅黑" w:cs="宋体" w:hint="eastAsia"/>
          <w:color w:val="000000"/>
          <w:kern w:val="0"/>
          <w:sz w:val="24"/>
          <w:szCs w:val="24"/>
        </w:rPr>
      </w:pPr>
      <w:r w:rsidRPr="00FD58DD">
        <w:rPr>
          <w:rFonts w:ascii="微软雅黑" w:eastAsia="微软雅黑" w:hAnsi="微软雅黑" w:cs="宋体"/>
          <w:color w:val="000000"/>
          <w:kern w:val="0"/>
          <w:sz w:val="24"/>
          <w:szCs w:val="24"/>
        </w:rPr>
        <w:fldChar w:fldCharType="end"/>
      </w:r>
    </w:p>
    <w:p w:rsidR="00FD58DD" w:rsidRPr="00FD58DD" w:rsidRDefault="00FD58DD" w:rsidP="00FD58DD">
      <w:pPr>
        <w:widowControl/>
        <w:shd w:val="clear" w:color="auto" w:fill="122C4C"/>
        <w:jc w:val="left"/>
        <w:rPr>
          <w:rFonts w:ascii="微软雅黑" w:eastAsia="微软雅黑" w:hAnsi="微软雅黑" w:cs="宋体" w:hint="eastAsia"/>
          <w:color w:val="FFFFFF"/>
          <w:kern w:val="0"/>
          <w:sz w:val="24"/>
          <w:szCs w:val="24"/>
        </w:rPr>
      </w:pPr>
      <w:r w:rsidRPr="00FD58DD">
        <w:rPr>
          <w:rFonts w:ascii="微软雅黑" w:eastAsia="微软雅黑" w:hAnsi="微软雅黑" w:cs="宋体" w:hint="eastAsia"/>
          <w:color w:val="FFFFFF"/>
          <w:kern w:val="0"/>
          <w:sz w:val="24"/>
          <w:szCs w:val="24"/>
        </w:rPr>
        <w:t>|</w:t>
      </w:r>
    </w:p>
    <w:p w:rsidR="00FD58DD" w:rsidRPr="00FD58DD" w:rsidRDefault="00FD58DD" w:rsidP="00FD58DD">
      <w:pPr>
        <w:widowControl/>
        <w:shd w:val="clear" w:color="auto" w:fill="122C4C"/>
        <w:jc w:val="left"/>
        <w:rPr>
          <w:rFonts w:ascii="宋体" w:eastAsia="宋体" w:hAnsi="宋体" w:cs="宋体" w:hint="eastAsia"/>
          <w:color w:val="8BE044"/>
          <w:kern w:val="0"/>
          <w:sz w:val="24"/>
          <w:szCs w:val="24"/>
        </w:rPr>
      </w:pPr>
      <w:r w:rsidRPr="00FD58DD">
        <w:rPr>
          <w:rFonts w:ascii="微软雅黑" w:eastAsia="微软雅黑" w:hAnsi="微软雅黑" w:cs="宋体"/>
          <w:color w:val="000000"/>
          <w:kern w:val="0"/>
          <w:sz w:val="24"/>
          <w:szCs w:val="24"/>
        </w:rPr>
        <w:fldChar w:fldCharType="begin"/>
      </w:r>
      <w:r w:rsidRPr="00FD58DD">
        <w:rPr>
          <w:rFonts w:ascii="微软雅黑" w:eastAsia="微软雅黑" w:hAnsi="微软雅黑" w:cs="宋体"/>
          <w:color w:val="000000"/>
          <w:kern w:val="0"/>
          <w:sz w:val="24"/>
          <w:szCs w:val="24"/>
        </w:rPr>
        <w:instrText xml:space="preserve"> HYPERLINK "http://www.zjhnrb.com/index/index_baseInfo.html" </w:instrText>
      </w:r>
      <w:r w:rsidRPr="00FD58DD">
        <w:rPr>
          <w:rFonts w:ascii="微软雅黑" w:eastAsia="微软雅黑" w:hAnsi="微软雅黑" w:cs="宋体"/>
          <w:color w:val="000000"/>
          <w:kern w:val="0"/>
          <w:sz w:val="24"/>
          <w:szCs w:val="24"/>
        </w:rPr>
        <w:fldChar w:fldCharType="separate"/>
      </w:r>
    </w:p>
    <w:p w:rsidR="00FD58DD" w:rsidRPr="00FD58DD" w:rsidRDefault="00FD58DD" w:rsidP="00FD58DD">
      <w:pPr>
        <w:widowControl/>
        <w:shd w:val="clear" w:color="auto" w:fill="122C4C"/>
        <w:jc w:val="left"/>
        <w:rPr>
          <w:rFonts w:ascii="宋体" w:eastAsia="宋体" w:hAnsi="宋体" w:cs="宋体" w:hint="eastAsia"/>
          <w:color w:val="FFFFFF"/>
          <w:kern w:val="0"/>
          <w:sz w:val="24"/>
          <w:szCs w:val="24"/>
        </w:rPr>
      </w:pPr>
      <w:r w:rsidRPr="00FD58DD">
        <w:rPr>
          <w:rFonts w:ascii="微软雅黑" w:eastAsia="微软雅黑" w:hAnsi="微软雅黑" w:cs="宋体" w:hint="eastAsia"/>
          <w:color w:val="FFFFFF"/>
          <w:kern w:val="0"/>
          <w:sz w:val="24"/>
          <w:szCs w:val="24"/>
        </w:rPr>
        <w:t>关于我们</w:t>
      </w:r>
    </w:p>
    <w:p w:rsidR="00FD58DD" w:rsidRPr="00FD58DD" w:rsidRDefault="00FD58DD" w:rsidP="00FD58DD">
      <w:pPr>
        <w:widowControl/>
        <w:shd w:val="clear" w:color="auto" w:fill="122C4C"/>
        <w:jc w:val="left"/>
        <w:rPr>
          <w:rFonts w:ascii="微软雅黑" w:eastAsia="微软雅黑" w:hAnsi="微软雅黑" w:cs="宋体" w:hint="eastAsia"/>
          <w:color w:val="000000"/>
          <w:kern w:val="0"/>
          <w:sz w:val="24"/>
          <w:szCs w:val="24"/>
        </w:rPr>
      </w:pPr>
      <w:r w:rsidRPr="00FD58DD">
        <w:rPr>
          <w:rFonts w:ascii="微软雅黑" w:eastAsia="微软雅黑" w:hAnsi="微软雅黑" w:cs="宋体"/>
          <w:color w:val="000000"/>
          <w:kern w:val="0"/>
          <w:sz w:val="24"/>
          <w:szCs w:val="24"/>
        </w:rPr>
        <w:fldChar w:fldCharType="end"/>
      </w:r>
    </w:p>
    <w:p w:rsidR="00FD58DD" w:rsidRPr="00FD58DD" w:rsidRDefault="00FD58DD" w:rsidP="00FD58DD">
      <w:pPr>
        <w:widowControl/>
        <w:shd w:val="clear" w:color="auto" w:fill="122C4C"/>
        <w:jc w:val="left"/>
        <w:rPr>
          <w:rFonts w:ascii="微软雅黑" w:eastAsia="微软雅黑" w:hAnsi="微软雅黑" w:cs="宋体" w:hint="eastAsia"/>
          <w:color w:val="FFFFFF"/>
          <w:kern w:val="0"/>
          <w:sz w:val="24"/>
          <w:szCs w:val="24"/>
        </w:rPr>
      </w:pPr>
      <w:r w:rsidRPr="00FD58DD">
        <w:rPr>
          <w:rFonts w:ascii="微软雅黑" w:eastAsia="微软雅黑" w:hAnsi="微软雅黑" w:cs="宋体" w:hint="eastAsia"/>
          <w:color w:val="FFFFFF"/>
          <w:kern w:val="0"/>
          <w:sz w:val="24"/>
          <w:szCs w:val="24"/>
        </w:rPr>
        <w:t>|</w:t>
      </w:r>
    </w:p>
    <w:p w:rsidR="00FD58DD" w:rsidRPr="00FD58DD" w:rsidRDefault="00FD58DD" w:rsidP="00FD58DD">
      <w:pPr>
        <w:widowControl/>
        <w:shd w:val="clear" w:color="auto" w:fill="122C4C"/>
        <w:jc w:val="left"/>
        <w:rPr>
          <w:rFonts w:ascii="宋体" w:eastAsia="宋体" w:hAnsi="宋体" w:cs="宋体" w:hint="eastAsia"/>
          <w:color w:val="8BE044"/>
          <w:kern w:val="0"/>
          <w:sz w:val="24"/>
          <w:szCs w:val="24"/>
        </w:rPr>
      </w:pPr>
      <w:r w:rsidRPr="00FD58DD">
        <w:rPr>
          <w:rFonts w:ascii="微软雅黑" w:eastAsia="微软雅黑" w:hAnsi="微软雅黑" w:cs="宋体"/>
          <w:color w:val="000000"/>
          <w:kern w:val="0"/>
          <w:sz w:val="24"/>
          <w:szCs w:val="24"/>
        </w:rPr>
        <w:fldChar w:fldCharType="begin"/>
      </w:r>
      <w:r w:rsidRPr="00FD58DD">
        <w:rPr>
          <w:rFonts w:ascii="微软雅黑" w:eastAsia="微软雅黑" w:hAnsi="微软雅黑" w:cs="宋体"/>
          <w:color w:val="000000"/>
          <w:kern w:val="0"/>
          <w:sz w:val="24"/>
          <w:szCs w:val="24"/>
        </w:rPr>
        <w:instrText xml:space="preserve"> HYPERLINK "http://www.zjhnrb.com/news/list/1.html" </w:instrText>
      </w:r>
      <w:r w:rsidRPr="00FD58DD">
        <w:rPr>
          <w:rFonts w:ascii="微软雅黑" w:eastAsia="微软雅黑" w:hAnsi="微软雅黑" w:cs="宋体"/>
          <w:color w:val="000000"/>
          <w:kern w:val="0"/>
          <w:sz w:val="24"/>
          <w:szCs w:val="24"/>
        </w:rPr>
        <w:fldChar w:fldCharType="separate"/>
      </w:r>
    </w:p>
    <w:p w:rsidR="00FD58DD" w:rsidRPr="00FD58DD" w:rsidRDefault="00FD58DD" w:rsidP="00FD58DD">
      <w:pPr>
        <w:widowControl/>
        <w:shd w:val="clear" w:color="auto" w:fill="122C4C"/>
        <w:jc w:val="left"/>
        <w:rPr>
          <w:rFonts w:ascii="宋体" w:eastAsia="宋体" w:hAnsi="宋体" w:cs="宋体" w:hint="eastAsia"/>
          <w:color w:val="46B308"/>
          <w:kern w:val="0"/>
          <w:sz w:val="24"/>
          <w:szCs w:val="24"/>
        </w:rPr>
      </w:pPr>
      <w:r w:rsidRPr="00FD58DD">
        <w:rPr>
          <w:rFonts w:ascii="微软雅黑" w:eastAsia="微软雅黑" w:hAnsi="微软雅黑" w:cs="宋体" w:hint="eastAsia"/>
          <w:color w:val="46B308"/>
          <w:kern w:val="0"/>
          <w:sz w:val="24"/>
          <w:szCs w:val="24"/>
        </w:rPr>
        <w:t>信息公告</w:t>
      </w:r>
    </w:p>
    <w:p w:rsidR="00FD58DD" w:rsidRPr="00FD58DD" w:rsidRDefault="00FD58DD" w:rsidP="00FD58DD">
      <w:pPr>
        <w:widowControl/>
        <w:shd w:val="clear" w:color="auto" w:fill="122C4C"/>
        <w:jc w:val="left"/>
        <w:rPr>
          <w:rFonts w:ascii="微软雅黑" w:eastAsia="微软雅黑" w:hAnsi="微软雅黑" w:cs="宋体" w:hint="eastAsia"/>
          <w:color w:val="000000"/>
          <w:kern w:val="0"/>
          <w:sz w:val="24"/>
          <w:szCs w:val="24"/>
        </w:rPr>
      </w:pPr>
      <w:r w:rsidRPr="00FD58DD">
        <w:rPr>
          <w:rFonts w:ascii="微软雅黑" w:eastAsia="微软雅黑" w:hAnsi="微软雅黑" w:cs="宋体"/>
          <w:color w:val="000000"/>
          <w:kern w:val="0"/>
          <w:sz w:val="24"/>
          <w:szCs w:val="24"/>
        </w:rPr>
        <w:fldChar w:fldCharType="end"/>
      </w:r>
    </w:p>
    <w:p w:rsidR="00FD58DD" w:rsidRPr="00FD58DD" w:rsidRDefault="00FD58DD" w:rsidP="00FD58DD">
      <w:pPr>
        <w:widowControl/>
        <w:shd w:val="clear" w:color="auto" w:fill="122C4C"/>
        <w:jc w:val="left"/>
        <w:rPr>
          <w:rFonts w:ascii="微软雅黑" w:eastAsia="微软雅黑" w:hAnsi="微软雅黑" w:cs="宋体" w:hint="eastAsia"/>
          <w:color w:val="FFFFFF"/>
          <w:kern w:val="0"/>
          <w:sz w:val="24"/>
          <w:szCs w:val="24"/>
        </w:rPr>
      </w:pPr>
      <w:r w:rsidRPr="00FD58DD">
        <w:rPr>
          <w:rFonts w:ascii="微软雅黑" w:eastAsia="微软雅黑" w:hAnsi="微软雅黑" w:cs="宋体" w:hint="eastAsia"/>
          <w:color w:val="FFFFFF"/>
          <w:kern w:val="0"/>
          <w:sz w:val="24"/>
          <w:szCs w:val="24"/>
        </w:rPr>
        <w:t>|</w:t>
      </w:r>
    </w:p>
    <w:p w:rsidR="00FD58DD" w:rsidRPr="00FD58DD" w:rsidRDefault="00FD58DD" w:rsidP="00FD58DD">
      <w:pPr>
        <w:widowControl/>
        <w:shd w:val="clear" w:color="auto" w:fill="122C4C"/>
        <w:jc w:val="left"/>
        <w:rPr>
          <w:rFonts w:ascii="宋体" w:eastAsia="宋体" w:hAnsi="宋体" w:cs="宋体" w:hint="eastAsia"/>
          <w:color w:val="8BE044"/>
          <w:kern w:val="0"/>
          <w:sz w:val="24"/>
          <w:szCs w:val="24"/>
        </w:rPr>
      </w:pPr>
      <w:r w:rsidRPr="00FD58DD">
        <w:rPr>
          <w:rFonts w:ascii="微软雅黑" w:eastAsia="微软雅黑" w:hAnsi="微软雅黑" w:cs="宋体"/>
          <w:color w:val="000000"/>
          <w:kern w:val="0"/>
          <w:sz w:val="24"/>
          <w:szCs w:val="24"/>
        </w:rPr>
        <w:fldChar w:fldCharType="begin"/>
      </w:r>
      <w:r w:rsidRPr="00FD58DD">
        <w:rPr>
          <w:rFonts w:ascii="微软雅黑" w:eastAsia="微软雅黑" w:hAnsi="微软雅黑" w:cs="宋体"/>
          <w:color w:val="000000"/>
          <w:kern w:val="0"/>
          <w:sz w:val="24"/>
          <w:szCs w:val="24"/>
        </w:rPr>
        <w:instrText xml:space="preserve"> HYPERLINK "http://www.zjhnrb.com/news/lc/fxgg/1.html" </w:instrText>
      </w:r>
      <w:r w:rsidRPr="00FD58DD">
        <w:rPr>
          <w:rFonts w:ascii="微软雅黑" w:eastAsia="微软雅黑" w:hAnsi="微软雅黑" w:cs="宋体"/>
          <w:color w:val="000000"/>
          <w:kern w:val="0"/>
          <w:sz w:val="24"/>
          <w:szCs w:val="24"/>
        </w:rPr>
        <w:fldChar w:fldCharType="separate"/>
      </w:r>
    </w:p>
    <w:p w:rsidR="00FD58DD" w:rsidRPr="00FD58DD" w:rsidRDefault="00FD58DD" w:rsidP="00FD58DD">
      <w:pPr>
        <w:widowControl/>
        <w:shd w:val="clear" w:color="auto" w:fill="122C4C"/>
        <w:jc w:val="left"/>
        <w:rPr>
          <w:rFonts w:ascii="宋体" w:eastAsia="宋体" w:hAnsi="宋体" w:cs="宋体" w:hint="eastAsia"/>
          <w:color w:val="FFFFFF"/>
          <w:kern w:val="0"/>
          <w:sz w:val="24"/>
          <w:szCs w:val="24"/>
        </w:rPr>
      </w:pPr>
      <w:r w:rsidRPr="00FD58DD">
        <w:rPr>
          <w:rFonts w:ascii="微软雅黑" w:eastAsia="微软雅黑" w:hAnsi="微软雅黑" w:cs="宋体" w:hint="eastAsia"/>
          <w:color w:val="FFFFFF"/>
          <w:kern w:val="0"/>
          <w:sz w:val="24"/>
          <w:szCs w:val="24"/>
        </w:rPr>
        <w:t>理财公告</w:t>
      </w:r>
    </w:p>
    <w:p w:rsidR="00FD58DD" w:rsidRPr="00FD58DD" w:rsidRDefault="00FD58DD" w:rsidP="00FD58DD">
      <w:pPr>
        <w:widowControl/>
        <w:shd w:val="clear" w:color="auto" w:fill="122C4C"/>
        <w:jc w:val="left"/>
        <w:rPr>
          <w:rFonts w:ascii="微软雅黑" w:eastAsia="微软雅黑" w:hAnsi="微软雅黑" w:cs="宋体" w:hint="eastAsia"/>
          <w:color w:val="000000"/>
          <w:kern w:val="0"/>
          <w:sz w:val="24"/>
          <w:szCs w:val="24"/>
        </w:rPr>
      </w:pPr>
      <w:r w:rsidRPr="00FD58DD">
        <w:rPr>
          <w:rFonts w:ascii="微软雅黑" w:eastAsia="微软雅黑" w:hAnsi="微软雅黑" w:cs="宋体"/>
          <w:color w:val="000000"/>
          <w:kern w:val="0"/>
          <w:sz w:val="24"/>
          <w:szCs w:val="24"/>
        </w:rPr>
        <w:fldChar w:fldCharType="end"/>
      </w:r>
    </w:p>
    <w:p w:rsidR="00FD58DD" w:rsidRPr="00FD58DD" w:rsidRDefault="00FD58DD" w:rsidP="00FD58DD">
      <w:pPr>
        <w:widowControl/>
        <w:shd w:val="clear" w:color="auto" w:fill="122C4C"/>
        <w:jc w:val="left"/>
        <w:rPr>
          <w:rFonts w:ascii="微软雅黑" w:eastAsia="微软雅黑" w:hAnsi="微软雅黑" w:cs="宋体" w:hint="eastAsia"/>
          <w:color w:val="FFFFFF"/>
          <w:kern w:val="0"/>
          <w:sz w:val="24"/>
          <w:szCs w:val="24"/>
        </w:rPr>
      </w:pPr>
      <w:r w:rsidRPr="00FD58DD">
        <w:rPr>
          <w:rFonts w:ascii="微软雅黑" w:eastAsia="微软雅黑" w:hAnsi="微软雅黑" w:cs="宋体" w:hint="eastAsia"/>
          <w:color w:val="FFFFFF"/>
          <w:kern w:val="0"/>
          <w:sz w:val="24"/>
          <w:szCs w:val="24"/>
        </w:rPr>
        <w:t>|</w:t>
      </w:r>
    </w:p>
    <w:p w:rsidR="00FD58DD" w:rsidRPr="00FD58DD" w:rsidRDefault="00FD58DD" w:rsidP="00FD58DD">
      <w:pPr>
        <w:widowControl/>
        <w:shd w:val="clear" w:color="auto" w:fill="122C4C"/>
        <w:jc w:val="left"/>
        <w:rPr>
          <w:rFonts w:ascii="宋体" w:eastAsia="宋体" w:hAnsi="宋体" w:cs="宋体" w:hint="eastAsia"/>
          <w:color w:val="8BE044"/>
          <w:kern w:val="0"/>
          <w:sz w:val="24"/>
          <w:szCs w:val="24"/>
        </w:rPr>
      </w:pPr>
      <w:r w:rsidRPr="00FD58DD">
        <w:rPr>
          <w:rFonts w:ascii="微软雅黑" w:eastAsia="微软雅黑" w:hAnsi="微软雅黑" w:cs="宋体"/>
          <w:color w:val="000000"/>
          <w:kern w:val="0"/>
          <w:sz w:val="24"/>
          <w:szCs w:val="24"/>
        </w:rPr>
        <w:fldChar w:fldCharType="begin"/>
      </w:r>
      <w:r w:rsidRPr="00FD58DD">
        <w:rPr>
          <w:rFonts w:ascii="微软雅黑" w:eastAsia="微软雅黑" w:hAnsi="微软雅黑" w:cs="宋体"/>
          <w:color w:val="000000"/>
          <w:kern w:val="0"/>
          <w:sz w:val="24"/>
          <w:szCs w:val="24"/>
        </w:rPr>
        <w:instrText xml:space="preserve"> HYPERLINK "http://www.zjhnrb.com/news/fee/fee.html" </w:instrText>
      </w:r>
      <w:r w:rsidRPr="00FD58DD">
        <w:rPr>
          <w:rFonts w:ascii="微软雅黑" w:eastAsia="微软雅黑" w:hAnsi="微软雅黑" w:cs="宋体"/>
          <w:color w:val="000000"/>
          <w:kern w:val="0"/>
          <w:sz w:val="24"/>
          <w:szCs w:val="24"/>
        </w:rPr>
        <w:fldChar w:fldCharType="separate"/>
      </w:r>
    </w:p>
    <w:p w:rsidR="00FD58DD" w:rsidRPr="00FD58DD" w:rsidRDefault="00FD58DD" w:rsidP="00FD58DD">
      <w:pPr>
        <w:widowControl/>
        <w:shd w:val="clear" w:color="auto" w:fill="122C4C"/>
        <w:jc w:val="left"/>
        <w:rPr>
          <w:rFonts w:ascii="宋体" w:eastAsia="宋体" w:hAnsi="宋体" w:cs="宋体" w:hint="eastAsia"/>
          <w:color w:val="FFFFFF"/>
          <w:kern w:val="0"/>
          <w:sz w:val="24"/>
          <w:szCs w:val="24"/>
        </w:rPr>
      </w:pPr>
      <w:r w:rsidRPr="00FD58DD">
        <w:rPr>
          <w:rFonts w:ascii="微软雅黑" w:eastAsia="微软雅黑" w:hAnsi="微软雅黑" w:cs="宋体" w:hint="eastAsia"/>
          <w:color w:val="FFFFFF"/>
          <w:kern w:val="0"/>
          <w:sz w:val="24"/>
          <w:szCs w:val="24"/>
        </w:rPr>
        <w:t>收费项目</w:t>
      </w:r>
    </w:p>
    <w:p w:rsidR="00FD58DD" w:rsidRPr="00FD58DD" w:rsidRDefault="00FD58DD" w:rsidP="00FD58DD">
      <w:pPr>
        <w:widowControl/>
        <w:shd w:val="clear" w:color="auto" w:fill="122C4C"/>
        <w:jc w:val="left"/>
        <w:rPr>
          <w:rFonts w:ascii="微软雅黑" w:eastAsia="微软雅黑" w:hAnsi="微软雅黑" w:cs="宋体" w:hint="eastAsia"/>
          <w:color w:val="000000"/>
          <w:kern w:val="0"/>
          <w:sz w:val="24"/>
          <w:szCs w:val="24"/>
        </w:rPr>
      </w:pPr>
      <w:r w:rsidRPr="00FD58DD">
        <w:rPr>
          <w:rFonts w:ascii="微软雅黑" w:eastAsia="微软雅黑" w:hAnsi="微软雅黑" w:cs="宋体"/>
          <w:color w:val="000000"/>
          <w:kern w:val="0"/>
          <w:sz w:val="24"/>
          <w:szCs w:val="24"/>
        </w:rPr>
        <w:fldChar w:fldCharType="end"/>
      </w:r>
    </w:p>
    <w:p w:rsidR="00FD58DD" w:rsidRPr="00FD58DD" w:rsidRDefault="00FD58DD" w:rsidP="00FD58DD">
      <w:pPr>
        <w:widowControl/>
        <w:jc w:val="left"/>
        <w:rPr>
          <w:rFonts w:ascii="微软雅黑" w:eastAsia="微软雅黑" w:hAnsi="微软雅黑" w:cs="宋体" w:hint="eastAsia"/>
          <w:b/>
          <w:bCs/>
          <w:color w:val="5A5A5A"/>
          <w:kern w:val="0"/>
          <w:sz w:val="30"/>
          <w:szCs w:val="30"/>
        </w:rPr>
      </w:pPr>
      <w:r w:rsidRPr="00FD58DD">
        <w:rPr>
          <w:rFonts w:ascii="微软雅黑" w:eastAsia="微软雅黑" w:hAnsi="微软雅黑" w:cs="宋体"/>
          <w:b/>
          <w:bCs/>
          <w:noProof/>
          <w:color w:val="5A5A5A"/>
          <w:kern w:val="0"/>
          <w:sz w:val="30"/>
          <w:szCs w:val="30"/>
        </w:rPr>
        <w:lastRenderedPageBreak/>
        <mc:AlternateContent>
          <mc:Choice Requires="wps">
            <w:drawing>
              <wp:inline distT="0" distB="0" distL="0" distR="0">
                <wp:extent cx="304800" cy="304800"/>
                <wp:effectExtent l="0" t="0" r="0" b="0"/>
                <wp:docPr id="2" name="矩形 2" descr="http://www.zjhnrb.com/static/images/icon_notice.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D2A795" id="矩形 2" o:spid="_x0000_s1026" alt="http://www.zjhnrb.com/static/images/icon_notice.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3Spi06AIAAPAFAAAOAAAAAAAAAAAA&#10;AAAAAC4CAABkcnMvZTJvRG9jLnhtbFBLAQItABQABgAIAAAAIQBMoOks2AAAAAMBAAAPAAAAAAAA&#10;AAAAAAAAAEIFAABkcnMvZG93bnJldi54bWxQSwUGAAAAAAQABADzAAAARwYAAAAA&#10;" filled="f" stroked="f">
                <o:lock v:ext="edit" aspectratio="t"/>
                <w10:anchorlock/>
              </v:rect>
            </w:pict>
          </mc:Fallback>
        </mc:AlternateContent>
      </w:r>
      <w:r w:rsidRPr="00FD58DD">
        <w:rPr>
          <w:rFonts w:ascii="微软雅黑" w:eastAsia="微软雅黑" w:hAnsi="微软雅黑" w:cs="宋体" w:hint="eastAsia"/>
          <w:b/>
          <w:bCs/>
          <w:color w:val="5A5A5A"/>
          <w:kern w:val="0"/>
          <w:sz w:val="30"/>
          <w:szCs w:val="30"/>
        </w:rPr>
        <w:t> 信息公告</w:t>
      </w:r>
    </w:p>
    <w:p w:rsidR="00FD58DD" w:rsidRPr="00FD58DD" w:rsidRDefault="00FD58DD" w:rsidP="00FD58DD">
      <w:pPr>
        <w:widowControl/>
        <w:jc w:val="center"/>
        <w:rPr>
          <w:rFonts w:ascii="微软雅黑" w:eastAsia="微软雅黑" w:hAnsi="微软雅黑" w:cs="宋体" w:hint="eastAsia"/>
          <w:color w:val="000000"/>
          <w:kern w:val="0"/>
          <w:sz w:val="48"/>
          <w:szCs w:val="48"/>
        </w:rPr>
      </w:pPr>
      <w:r w:rsidRPr="00FD58DD">
        <w:rPr>
          <w:rFonts w:ascii="微软雅黑" w:eastAsia="微软雅黑" w:hAnsi="微软雅黑" w:cs="宋体" w:hint="eastAsia"/>
          <w:color w:val="000000"/>
          <w:kern w:val="0"/>
          <w:sz w:val="48"/>
          <w:szCs w:val="48"/>
        </w:rPr>
        <w:t>浙江海宁农村商业银行股份有限公司2026年第一季度第三支柱信息披露报告</w:t>
      </w:r>
    </w:p>
    <w:p w:rsidR="00FD58DD" w:rsidRPr="00FD58DD" w:rsidRDefault="00FD58DD" w:rsidP="00FD58DD">
      <w:pPr>
        <w:widowControl/>
        <w:jc w:val="right"/>
        <w:rPr>
          <w:rFonts w:ascii="微软雅黑" w:eastAsia="微软雅黑" w:hAnsi="微软雅黑" w:cs="宋体" w:hint="eastAsia"/>
          <w:color w:val="818181"/>
          <w:kern w:val="0"/>
          <w:sz w:val="24"/>
          <w:szCs w:val="24"/>
        </w:rPr>
      </w:pPr>
      <w:r w:rsidRPr="00FD58DD">
        <w:rPr>
          <w:rFonts w:ascii="微软雅黑" w:eastAsia="微软雅黑" w:hAnsi="微软雅黑" w:cs="宋体" w:hint="eastAsia"/>
          <w:color w:val="818181"/>
          <w:kern w:val="0"/>
          <w:sz w:val="24"/>
          <w:szCs w:val="24"/>
        </w:rPr>
        <w:t>2026-04-30</w:t>
      </w:r>
    </w:p>
    <w:p w:rsidR="00FD58DD" w:rsidRPr="00FD58DD" w:rsidRDefault="00FD58DD" w:rsidP="00FD58DD">
      <w:pPr>
        <w:widowControl/>
        <w:spacing w:line="555" w:lineRule="atLeast"/>
        <w:jc w:val="center"/>
        <w:rPr>
          <w:rFonts w:ascii="微软雅黑" w:eastAsia="微软雅黑" w:hAnsi="微软雅黑" w:cs="宋体" w:hint="eastAsia"/>
          <w:color w:val="000000"/>
          <w:kern w:val="0"/>
          <w:sz w:val="24"/>
          <w:szCs w:val="24"/>
        </w:rPr>
      </w:pPr>
      <w:r w:rsidRPr="00FD58DD">
        <w:rPr>
          <w:rFonts w:ascii="微软雅黑" w:eastAsia="微软雅黑" w:hAnsi="微软雅黑" w:cs="宋体" w:hint="eastAsia"/>
          <w:color w:val="000000"/>
          <w:kern w:val="0"/>
          <w:sz w:val="44"/>
          <w:szCs w:val="44"/>
        </w:rPr>
        <w:t>浙江海宁农村商业银行股份有限公司</w:t>
      </w:r>
    </w:p>
    <w:p w:rsidR="00FD58DD" w:rsidRPr="00FD58DD" w:rsidRDefault="00FD58DD" w:rsidP="00FD58DD">
      <w:pPr>
        <w:widowControl/>
        <w:spacing w:line="555" w:lineRule="atLeast"/>
        <w:jc w:val="center"/>
        <w:rPr>
          <w:rFonts w:ascii="微软雅黑" w:eastAsia="微软雅黑" w:hAnsi="微软雅黑" w:cs="宋体" w:hint="eastAsia"/>
          <w:color w:val="000000"/>
          <w:kern w:val="0"/>
          <w:sz w:val="24"/>
          <w:szCs w:val="24"/>
        </w:rPr>
      </w:pPr>
      <w:r w:rsidRPr="00FD58DD">
        <w:rPr>
          <w:rFonts w:ascii="微软雅黑" w:eastAsia="微软雅黑" w:hAnsi="微软雅黑" w:cs="宋体" w:hint="eastAsia"/>
          <w:color w:val="000000"/>
          <w:kern w:val="0"/>
          <w:sz w:val="44"/>
          <w:szCs w:val="44"/>
        </w:rPr>
        <w:t>2026年第一季度第三支柱信息披露报告</w:t>
      </w:r>
    </w:p>
    <w:p w:rsidR="00FD58DD" w:rsidRPr="00FD58DD" w:rsidRDefault="00FD58DD" w:rsidP="00FD58DD">
      <w:pPr>
        <w:widowControl/>
        <w:spacing w:line="555" w:lineRule="atLeast"/>
        <w:jc w:val="left"/>
        <w:rPr>
          <w:rFonts w:ascii="微软雅黑" w:eastAsia="微软雅黑" w:hAnsi="微软雅黑" w:cs="宋体" w:hint="eastAsia"/>
          <w:color w:val="000000"/>
          <w:kern w:val="0"/>
          <w:sz w:val="24"/>
          <w:szCs w:val="24"/>
        </w:rPr>
      </w:pPr>
      <w:r w:rsidRPr="00FD58DD">
        <w:rPr>
          <w:rFonts w:ascii="仿宋_GB2312" w:eastAsia="仿宋_GB2312" w:hAnsi="微软雅黑" w:cs="宋体" w:hint="eastAsia"/>
          <w:color w:val="000000"/>
          <w:kern w:val="0"/>
          <w:sz w:val="32"/>
          <w:szCs w:val="32"/>
        </w:rPr>
        <w:t> </w:t>
      </w:r>
    </w:p>
    <w:p w:rsidR="00FD58DD" w:rsidRPr="00FD58DD" w:rsidRDefault="00FD58DD" w:rsidP="00FD58DD">
      <w:pPr>
        <w:widowControl/>
        <w:spacing w:line="555" w:lineRule="atLeast"/>
        <w:ind w:firstLine="645"/>
        <w:jc w:val="left"/>
        <w:rPr>
          <w:rFonts w:ascii="微软雅黑" w:eastAsia="微软雅黑" w:hAnsi="微软雅黑" w:cs="宋体" w:hint="eastAsia"/>
          <w:color w:val="000000"/>
          <w:kern w:val="0"/>
          <w:sz w:val="24"/>
          <w:szCs w:val="24"/>
        </w:rPr>
      </w:pPr>
      <w:r w:rsidRPr="00FD58DD">
        <w:rPr>
          <w:rFonts w:ascii="仿宋" w:eastAsia="仿宋" w:hAnsi="仿宋" w:cs="宋体" w:hint="eastAsia"/>
          <w:color w:val="000000"/>
          <w:kern w:val="0"/>
          <w:sz w:val="32"/>
          <w:szCs w:val="32"/>
        </w:rPr>
        <w:t>本行根据国家金融监督管理总局发布的《商业银行资本管理办法》(国家金融监督管理总局令2023年第4号)的监管要求，通过公开官方网站，向投资者和社会公众披露本行资本充足率信息。2026年4月29日，本行第3次资产负债会议审议通过了本报告。</w:t>
      </w:r>
    </w:p>
    <w:p w:rsidR="00FD58DD" w:rsidRPr="00FD58DD" w:rsidRDefault="00FD58DD" w:rsidP="00FD58DD">
      <w:pPr>
        <w:widowControl/>
        <w:numPr>
          <w:ilvl w:val="0"/>
          <w:numId w:val="1"/>
        </w:numPr>
        <w:ind w:left="0"/>
        <w:jc w:val="left"/>
        <w:rPr>
          <w:rFonts w:ascii="微软雅黑" w:eastAsia="微软雅黑" w:hAnsi="微软雅黑" w:cs="宋体" w:hint="eastAsia"/>
          <w:color w:val="000000"/>
          <w:kern w:val="0"/>
          <w:sz w:val="24"/>
          <w:szCs w:val="24"/>
        </w:rPr>
      </w:pPr>
    </w:p>
    <w:p w:rsidR="00FD58DD" w:rsidRPr="00FD58DD" w:rsidRDefault="00FD58DD" w:rsidP="00FD58DD">
      <w:pPr>
        <w:widowControl/>
        <w:spacing w:line="555" w:lineRule="atLeast"/>
        <w:ind w:firstLine="645"/>
        <w:jc w:val="left"/>
        <w:rPr>
          <w:rFonts w:ascii="微软雅黑" w:eastAsia="微软雅黑" w:hAnsi="微软雅黑" w:cs="宋体" w:hint="eastAsia"/>
          <w:color w:val="000000"/>
          <w:kern w:val="0"/>
          <w:sz w:val="24"/>
          <w:szCs w:val="24"/>
        </w:rPr>
      </w:pPr>
      <w:r w:rsidRPr="00FD58DD">
        <w:rPr>
          <w:rFonts w:ascii="仿宋" w:eastAsia="仿宋" w:hAnsi="仿宋" w:cs="宋体" w:hint="eastAsia"/>
          <w:color w:val="000000"/>
          <w:kern w:val="0"/>
          <w:sz w:val="32"/>
          <w:szCs w:val="32"/>
        </w:rPr>
        <w:t>国家金融监督管理总局对本行各级资本充足率最低要求（含储备资本2.50%）如下：核心一级资本充足率不得低于7.50%；一级资本充足率不得低于8.50%；资本充足率不得低于10.50%。</w:t>
      </w:r>
    </w:p>
    <w:p w:rsidR="00FD58DD" w:rsidRPr="00FD58DD" w:rsidRDefault="00FD58DD" w:rsidP="00FD58DD">
      <w:pPr>
        <w:widowControl/>
        <w:numPr>
          <w:ilvl w:val="0"/>
          <w:numId w:val="2"/>
        </w:numPr>
        <w:ind w:left="0"/>
        <w:jc w:val="left"/>
        <w:rPr>
          <w:rFonts w:ascii="微软雅黑" w:eastAsia="微软雅黑" w:hAnsi="微软雅黑" w:cs="宋体" w:hint="eastAsia"/>
          <w:color w:val="000000"/>
          <w:kern w:val="0"/>
          <w:sz w:val="24"/>
          <w:szCs w:val="24"/>
        </w:rPr>
      </w:pPr>
    </w:p>
    <w:p w:rsidR="00FD58DD" w:rsidRPr="00FD58DD" w:rsidRDefault="00FD58DD" w:rsidP="00FD58DD">
      <w:pPr>
        <w:widowControl/>
        <w:spacing w:line="555" w:lineRule="atLeast"/>
        <w:ind w:firstLine="645"/>
        <w:jc w:val="left"/>
        <w:rPr>
          <w:rFonts w:ascii="微软雅黑" w:eastAsia="微软雅黑" w:hAnsi="微软雅黑" w:cs="宋体" w:hint="eastAsia"/>
          <w:color w:val="000000"/>
          <w:kern w:val="0"/>
          <w:sz w:val="24"/>
          <w:szCs w:val="24"/>
        </w:rPr>
      </w:pPr>
      <w:r w:rsidRPr="00FD58DD">
        <w:rPr>
          <w:rFonts w:ascii="仿宋" w:eastAsia="仿宋" w:hAnsi="仿宋" w:cs="宋体" w:hint="eastAsia"/>
          <w:color w:val="000000"/>
          <w:kern w:val="0"/>
          <w:sz w:val="32"/>
          <w:szCs w:val="32"/>
        </w:rPr>
        <w:lastRenderedPageBreak/>
        <w:t>本行依据《商业银行资本管理办法》进行资本充足率计量， 按照办法规定，本行机构划分标准适用于第二档商业银行，其中信用风险采用权重法计量，市场风险采用简化标准法计量，操作风险采用基本指标法计量。截至2026年3月31日，本行核心一级资本净额84.99亿元，一级资本净额84.99亿元，资本净额101.22亿元，风险加权资产717.31亿元，核心一级资本充足率为11.85%，一级资本充足率为11.85%，资本充足率为14.11%；调整后表内外资产余额1180.17亿元，杠杆率为7.20%。核心一级资本充足率、一级资本充足率、资本充足率和杠杆率均高于监管部门要求的法定值。本季度本行需披露的报表如下:</w:t>
      </w:r>
    </w:p>
    <w:p w:rsidR="00FD58DD" w:rsidRPr="00FD58DD" w:rsidRDefault="00FD58DD" w:rsidP="00FD58DD">
      <w:pPr>
        <w:widowControl/>
        <w:spacing w:line="555" w:lineRule="atLeast"/>
        <w:ind w:firstLine="645"/>
        <w:jc w:val="left"/>
        <w:rPr>
          <w:rFonts w:ascii="微软雅黑" w:eastAsia="微软雅黑" w:hAnsi="微软雅黑" w:cs="宋体" w:hint="eastAsia"/>
          <w:color w:val="000000"/>
          <w:kern w:val="0"/>
          <w:sz w:val="24"/>
          <w:szCs w:val="24"/>
        </w:rPr>
      </w:pPr>
      <w:r w:rsidRPr="00FD58DD">
        <w:rPr>
          <w:rFonts w:ascii="仿宋" w:eastAsia="仿宋" w:hAnsi="仿宋" w:cs="宋体" w:hint="eastAsia"/>
          <w:color w:val="000000"/>
          <w:kern w:val="0"/>
          <w:sz w:val="32"/>
          <w:szCs w:val="32"/>
        </w:rPr>
        <w:t>表一：KM1监管并表关键审慎监管指标</w:t>
      </w:r>
    </w:p>
    <w:p w:rsidR="00FD58DD" w:rsidRPr="00FD58DD" w:rsidRDefault="00FD58DD" w:rsidP="00FD58DD">
      <w:pPr>
        <w:widowControl/>
        <w:spacing w:line="555" w:lineRule="atLeast"/>
        <w:ind w:firstLine="435"/>
        <w:jc w:val="right"/>
        <w:rPr>
          <w:rFonts w:ascii="微软雅黑" w:eastAsia="微软雅黑" w:hAnsi="微软雅黑" w:cs="宋体" w:hint="eastAsia"/>
          <w:color w:val="000000"/>
          <w:kern w:val="0"/>
          <w:sz w:val="24"/>
          <w:szCs w:val="24"/>
        </w:rPr>
      </w:pPr>
      <w:r w:rsidRPr="00FD58DD">
        <w:rPr>
          <w:rFonts w:ascii="仿宋" w:eastAsia="仿宋" w:hAnsi="仿宋" w:cs="宋体" w:hint="eastAsia"/>
          <w:color w:val="000000"/>
          <w:kern w:val="0"/>
          <w:sz w:val="23"/>
          <w:szCs w:val="23"/>
        </w:rPr>
        <w:t>单位：万元、%</w:t>
      </w:r>
    </w:p>
    <w:tbl>
      <w:tblPr>
        <w:tblW w:w="16950" w:type="dxa"/>
        <w:tblCellMar>
          <w:left w:w="0" w:type="dxa"/>
          <w:right w:w="0" w:type="dxa"/>
        </w:tblCellMar>
        <w:tblLook w:val="04A0" w:firstRow="1" w:lastRow="0" w:firstColumn="1" w:lastColumn="0" w:noHBand="0" w:noVBand="1"/>
      </w:tblPr>
      <w:tblGrid>
        <w:gridCol w:w="967"/>
        <w:gridCol w:w="2990"/>
        <w:gridCol w:w="2585"/>
        <w:gridCol w:w="2585"/>
        <w:gridCol w:w="2630"/>
        <w:gridCol w:w="2585"/>
        <w:gridCol w:w="2608"/>
      </w:tblGrid>
      <w:tr w:rsidR="00FD58DD" w:rsidRPr="00FD58DD" w:rsidTr="00FD58DD">
        <w:trPr>
          <w:trHeight w:val="315"/>
        </w:trPr>
        <w:tc>
          <w:tcPr>
            <w:tcW w:w="2640" w:type="dxa"/>
            <w:gridSpan w:val="2"/>
            <w:vMerge w:val="restart"/>
            <w:tcBorders>
              <w:top w:val="single" w:sz="6" w:space="0" w:color="auto"/>
              <w:left w:val="single" w:sz="6" w:space="0" w:color="auto"/>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17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a</w:t>
            </w:r>
          </w:p>
        </w:tc>
        <w:tc>
          <w:tcPr>
            <w:tcW w:w="172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b</w:t>
            </w:r>
          </w:p>
        </w:tc>
        <w:tc>
          <w:tcPr>
            <w:tcW w:w="1725" w:type="dxa"/>
            <w:tcBorders>
              <w:top w:val="single" w:sz="6" w:space="0" w:color="auto"/>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c</w:t>
            </w:r>
          </w:p>
        </w:tc>
        <w:tc>
          <w:tcPr>
            <w:tcW w:w="17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d</w:t>
            </w:r>
          </w:p>
        </w:tc>
        <w:tc>
          <w:tcPr>
            <w:tcW w:w="172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e</w:t>
            </w:r>
          </w:p>
        </w:tc>
      </w:tr>
      <w:tr w:rsidR="00FD58DD" w:rsidRPr="00FD58DD" w:rsidTr="00FD58DD">
        <w:trPr>
          <w:trHeight w:val="240"/>
        </w:trPr>
        <w:tc>
          <w:tcPr>
            <w:tcW w:w="0" w:type="auto"/>
            <w:gridSpan w:val="2"/>
            <w:vMerge/>
            <w:tcBorders>
              <w:top w:val="single" w:sz="6" w:space="0" w:color="auto"/>
              <w:left w:val="single" w:sz="6" w:space="0" w:color="auto"/>
              <w:bottom w:val="single" w:sz="6" w:space="0" w:color="auto"/>
              <w:right w:val="nil"/>
            </w:tcBorders>
            <w:vAlign w:val="center"/>
            <w:hideMark/>
          </w:tcPr>
          <w:p w:rsidR="00FD58DD" w:rsidRPr="00FD58DD" w:rsidRDefault="00FD58DD" w:rsidP="00FD58DD">
            <w:pPr>
              <w:widowControl/>
              <w:jc w:val="left"/>
              <w:rPr>
                <w:rFonts w:ascii="微软雅黑" w:eastAsia="微软雅黑" w:hAnsi="微软雅黑" w:cs="宋体"/>
                <w:kern w:val="0"/>
                <w:sz w:val="24"/>
                <w:szCs w:val="24"/>
              </w:rPr>
            </w:pP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T</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T-1</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T-2</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T-3</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T-4</w:t>
            </w:r>
          </w:p>
        </w:tc>
      </w:tr>
      <w:tr w:rsidR="00FD58DD" w:rsidRPr="00FD58DD" w:rsidTr="00FD58DD">
        <w:trPr>
          <w:trHeight w:val="300"/>
        </w:trPr>
        <w:tc>
          <w:tcPr>
            <w:tcW w:w="645" w:type="dxa"/>
            <w:tcBorders>
              <w:top w:val="nil"/>
              <w:left w:val="single" w:sz="6" w:space="0" w:color="auto"/>
              <w:bottom w:val="single" w:sz="6" w:space="0" w:color="auto"/>
              <w:right w:val="single" w:sz="6" w:space="0" w:color="auto"/>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7200" w:type="dxa"/>
            <w:gridSpan w:val="4"/>
            <w:tcBorders>
              <w:top w:val="nil"/>
              <w:left w:val="nil"/>
              <w:bottom w:val="single" w:sz="6" w:space="0" w:color="auto"/>
              <w:right w:val="nil"/>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b/>
                <w:bCs/>
                <w:color w:val="000000"/>
                <w:kern w:val="0"/>
                <w:sz w:val="23"/>
                <w:szCs w:val="23"/>
              </w:rPr>
              <w:t>可用资本（数额）</w:t>
            </w:r>
          </w:p>
        </w:tc>
        <w:tc>
          <w:tcPr>
            <w:tcW w:w="1725" w:type="dxa"/>
            <w:tcBorders>
              <w:top w:val="nil"/>
              <w:left w:val="single" w:sz="6" w:space="0" w:color="auto"/>
              <w:bottom w:val="single" w:sz="6" w:space="0" w:color="auto"/>
              <w:right w:val="single" w:sz="6" w:space="0" w:color="auto"/>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1725" w:type="dxa"/>
            <w:tcBorders>
              <w:top w:val="nil"/>
              <w:left w:val="nil"/>
              <w:bottom w:val="single" w:sz="6" w:space="0" w:color="auto"/>
              <w:right w:val="single" w:sz="6" w:space="0" w:color="auto"/>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r>
      <w:tr w:rsidR="00FD58DD" w:rsidRPr="00FD58DD" w:rsidTr="00FD58DD">
        <w:trPr>
          <w:trHeight w:val="210"/>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核心一级资本净额</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849,881.06</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827,522.45</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822,258.57</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815,258.12</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791,615.24</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2</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一级资本净额</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849,881.06</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827,522.45</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822,258.57</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815,258.12</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791,615.24</w:t>
            </w:r>
          </w:p>
        </w:tc>
      </w:tr>
      <w:tr w:rsidR="00FD58DD" w:rsidRPr="00FD58DD" w:rsidTr="00FD58DD">
        <w:trPr>
          <w:trHeight w:val="25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3</w:t>
            </w:r>
          </w:p>
        </w:tc>
        <w:tc>
          <w:tcPr>
            <w:tcW w:w="199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资本净额</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1,012,192.63</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988,868.97</w:t>
            </w:r>
          </w:p>
        </w:tc>
        <w:tc>
          <w:tcPr>
            <w:tcW w:w="1725" w:type="dxa"/>
            <w:tcBorders>
              <w:top w:val="single" w:sz="6" w:space="0" w:color="DDDDDD"/>
              <w:left w:val="single" w:sz="6" w:space="0" w:color="DDDDDD"/>
              <w:bottom w:val="single" w:sz="6" w:space="0" w:color="DDDDDD"/>
              <w:right w:val="single" w:sz="6" w:space="0" w:color="DDDDDD"/>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982,144.67</w:t>
            </w:r>
          </w:p>
        </w:tc>
        <w:tc>
          <w:tcPr>
            <w:tcW w:w="1725" w:type="dxa"/>
            <w:tcBorders>
              <w:top w:val="nil"/>
              <w:left w:val="single" w:sz="6" w:space="0" w:color="auto"/>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973,660.50</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950,934.31</w:t>
            </w:r>
          </w:p>
        </w:tc>
      </w:tr>
      <w:tr w:rsidR="00FD58DD" w:rsidRPr="00FD58DD" w:rsidTr="00FD58DD">
        <w:trPr>
          <w:trHeight w:val="300"/>
        </w:trPr>
        <w:tc>
          <w:tcPr>
            <w:tcW w:w="645" w:type="dxa"/>
            <w:tcBorders>
              <w:top w:val="nil"/>
              <w:left w:val="single" w:sz="6" w:space="0" w:color="auto"/>
              <w:bottom w:val="single" w:sz="6" w:space="0" w:color="auto"/>
              <w:right w:val="nil"/>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10665" w:type="dxa"/>
            <w:gridSpan w:val="6"/>
            <w:tcBorders>
              <w:top w:val="single" w:sz="6" w:space="0" w:color="auto"/>
              <w:left w:val="single" w:sz="6" w:space="0" w:color="auto"/>
              <w:bottom w:val="single" w:sz="6" w:space="0" w:color="auto"/>
              <w:right w:val="single" w:sz="6" w:space="0" w:color="000000"/>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b/>
                <w:bCs/>
                <w:color w:val="000000"/>
                <w:kern w:val="0"/>
                <w:sz w:val="23"/>
                <w:szCs w:val="23"/>
              </w:rPr>
              <w:t>风险加权资产（数额）</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4</w:t>
            </w:r>
          </w:p>
        </w:tc>
        <w:tc>
          <w:tcPr>
            <w:tcW w:w="199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风险加权资产</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7,173,082.64</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7,070,941.64</w:t>
            </w:r>
          </w:p>
        </w:tc>
        <w:tc>
          <w:tcPr>
            <w:tcW w:w="1725" w:type="dxa"/>
            <w:tcBorders>
              <w:top w:val="single" w:sz="6" w:space="0" w:color="DDDDDD"/>
              <w:left w:val="single" w:sz="6" w:space="0" w:color="DDDDDD"/>
              <w:bottom w:val="single" w:sz="6" w:space="0" w:color="DDDDDD"/>
              <w:right w:val="single" w:sz="6" w:space="0" w:color="DDDDDD"/>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6,899,682.50</w:t>
            </w:r>
          </w:p>
        </w:tc>
        <w:tc>
          <w:tcPr>
            <w:tcW w:w="1725" w:type="dxa"/>
            <w:tcBorders>
              <w:top w:val="nil"/>
              <w:left w:val="single" w:sz="6" w:space="0" w:color="auto"/>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6,782,925.19</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6,862,707.51</w:t>
            </w:r>
          </w:p>
        </w:tc>
      </w:tr>
      <w:tr w:rsidR="00FD58DD" w:rsidRPr="00FD58DD" w:rsidTr="00FD58DD">
        <w:trPr>
          <w:trHeight w:val="300"/>
        </w:trPr>
        <w:tc>
          <w:tcPr>
            <w:tcW w:w="645" w:type="dxa"/>
            <w:tcBorders>
              <w:top w:val="nil"/>
              <w:left w:val="single" w:sz="6" w:space="0" w:color="auto"/>
              <w:bottom w:val="single" w:sz="6" w:space="0" w:color="auto"/>
              <w:right w:val="nil"/>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10665" w:type="dxa"/>
            <w:gridSpan w:val="6"/>
            <w:tcBorders>
              <w:top w:val="single" w:sz="6" w:space="0" w:color="auto"/>
              <w:left w:val="single" w:sz="6" w:space="0" w:color="auto"/>
              <w:bottom w:val="single" w:sz="6" w:space="0" w:color="auto"/>
              <w:right w:val="single" w:sz="6" w:space="0" w:color="000000"/>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b/>
                <w:bCs/>
                <w:color w:val="000000"/>
                <w:kern w:val="0"/>
                <w:sz w:val="23"/>
                <w:szCs w:val="23"/>
              </w:rPr>
              <w:t>资本充足率</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5</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核心一级资本充足率（%）</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11.85</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11.70</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11.92</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12.02</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11.54</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6</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一级资本充足率（%）</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11.85</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11.70</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11.92</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12.02</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11.54</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w:t>
            </w:r>
          </w:p>
        </w:tc>
        <w:tc>
          <w:tcPr>
            <w:tcW w:w="199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资本充足率（%）</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14.11</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13.98</w:t>
            </w:r>
          </w:p>
        </w:tc>
        <w:tc>
          <w:tcPr>
            <w:tcW w:w="1725" w:type="dxa"/>
            <w:tcBorders>
              <w:top w:val="single" w:sz="6" w:space="0" w:color="DDDDDD"/>
              <w:left w:val="single" w:sz="6" w:space="0" w:color="DDDDDD"/>
              <w:bottom w:val="single" w:sz="6" w:space="0" w:color="DDDDDD"/>
              <w:right w:val="single" w:sz="6" w:space="0" w:color="DDDDDD"/>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14.23</w:t>
            </w:r>
          </w:p>
        </w:tc>
        <w:tc>
          <w:tcPr>
            <w:tcW w:w="1725" w:type="dxa"/>
            <w:tcBorders>
              <w:top w:val="nil"/>
              <w:left w:val="single" w:sz="6" w:space="0" w:color="auto"/>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14.35</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13.86</w:t>
            </w:r>
          </w:p>
        </w:tc>
      </w:tr>
      <w:tr w:rsidR="00FD58DD" w:rsidRPr="00FD58DD" w:rsidTr="00FD58DD">
        <w:trPr>
          <w:trHeight w:val="300"/>
        </w:trPr>
        <w:tc>
          <w:tcPr>
            <w:tcW w:w="645" w:type="dxa"/>
            <w:tcBorders>
              <w:top w:val="nil"/>
              <w:left w:val="single" w:sz="6" w:space="0" w:color="auto"/>
              <w:bottom w:val="single" w:sz="6" w:space="0" w:color="auto"/>
              <w:right w:val="nil"/>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10665" w:type="dxa"/>
            <w:gridSpan w:val="6"/>
            <w:tcBorders>
              <w:top w:val="single" w:sz="6" w:space="0" w:color="auto"/>
              <w:left w:val="single" w:sz="6" w:space="0" w:color="auto"/>
              <w:bottom w:val="single" w:sz="6" w:space="0" w:color="auto"/>
              <w:right w:val="single" w:sz="6" w:space="0" w:color="000000"/>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b/>
                <w:bCs/>
                <w:color w:val="000000"/>
                <w:kern w:val="0"/>
                <w:sz w:val="23"/>
                <w:szCs w:val="23"/>
              </w:rPr>
              <w:t>其他各级资本要求</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8</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储备资本要求（%）</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2.5</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2.5</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2.5</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2.5</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2.5</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lastRenderedPageBreak/>
              <w:t>9</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逆周期资本要求（%）</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0</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0</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0</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0</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0</w:t>
            </w:r>
          </w:p>
        </w:tc>
      </w:tr>
      <w:tr w:rsidR="00FD58DD" w:rsidRPr="00FD58DD" w:rsidTr="00FD58DD">
        <w:trPr>
          <w:trHeight w:val="55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10</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全球系统重要性银行或国内系统重要性银行附加资本要求（%）</w:t>
            </w:r>
          </w:p>
        </w:tc>
        <w:tc>
          <w:tcPr>
            <w:tcW w:w="1725" w:type="dxa"/>
            <w:tcBorders>
              <w:top w:val="nil"/>
              <w:left w:val="nil"/>
              <w:bottom w:val="single" w:sz="6" w:space="0" w:color="auto"/>
              <w:right w:val="single" w:sz="6" w:space="0" w:color="auto"/>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1725" w:type="dxa"/>
            <w:tcBorders>
              <w:top w:val="nil"/>
              <w:left w:val="nil"/>
              <w:bottom w:val="single" w:sz="6" w:space="0" w:color="auto"/>
              <w:right w:val="single" w:sz="6" w:space="0" w:color="auto"/>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1725" w:type="dxa"/>
            <w:tcBorders>
              <w:top w:val="nil"/>
              <w:left w:val="nil"/>
              <w:bottom w:val="single" w:sz="6" w:space="0" w:color="auto"/>
              <w:right w:val="nil"/>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1725" w:type="dxa"/>
            <w:tcBorders>
              <w:top w:val="nil"/>
              <w:left w:val="single" w:sz="6" w:space="0" w:color="auto"/>
              <w:bottom w:val="single" w:sz="6" w:space="0" w:color="auto"/>
              <w:right w:val="single" w:sz="6" w:space="0" w:color="auto"/>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1725" w:type="dxa"/>
            <w:tcBorders>
              <w:top w:val="nil"/>
              <w:left w:val="nil"/>
              <w:bottom w:val="single" w:sz="6" w:space="0" w:color="auto"/>
              <w:right w:val="single" w:sz="6" w:space="0" w:color="auto"/>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其他各级资本要求（%）（8+9+10）</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2.5</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2.5</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2.5</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2.5</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2.5</w:t>
            </w:r>
          </w:p>
        </w:tc>
      </w:tr>
      <w:tr w:rsidR="00FD58DD" w:rsidRPr="00FD58DD" w:rsidTr="00FD58DD">
        <w:trPr>
          <w:trHeight w:val="420"/>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12</w:t>
            </w:r>
          </w:p>
        </w:tc>
        <w:tc>
          <w:tcPr>
            <w:tcW w:w="199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满足最低资本要求后的可用核心一级资本净额占风险加权资产的比例（%）</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5.85</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5.7</w:t>
            </w:r>
          </w:p>
        </w:tc>
        <w:tc>
          <w:tcPr>
            <w:tcW w:w="1725" w:type="dxa"/>
            <w:tcBorders>
              <w:top w:val="single" w:sz="6" w:space="0" w:color="DDDDDD"/>
              <w:left w:val="single" w:sz="6" w:space="0" w:color="DDDDDD"/>
              <w:bottom w:val="single" w:sz="6" w:space="0" w:color="DDDDDD"/>
              <w:right w:val="single" w:sz="6" w:space="0" w:color="DDDDDD"/>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5.92</w:t>
            </w:r>
          </w:p>
        </w:tc>
        <w:tc>
          <w:tcPr>
            <w:tcW w:w="1725" w:type="dxa"/>
            <w:tcBorders>
              <w:top w:val="nil"/>
              <w:left w:val="single" w:sz="6" w:space="0" w:color="auto"/>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6.02</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5.54</w:t>
            </w:r>
          </w:p>
        </w:tc>
      </w:tr>
      <w:tr w:rsidR="00FD58DD" w:rsidRPr="00FD58DD" w:rsidTr="00FD58DD">
        <w:trPr>
          <w:trHeight w:val="225"/>
        </w:trPr>
        <w:tc>
          <w:tcPr>
            <w:tcW w:w="645" w:type="dxa"/>
            <w:tcBorders>
              <w:top w:val="nil"/>
              <w:left w:val="single" w:sz="6" w:space="0" w:color="auto"/>
              <w:bottom w:val="single" w:sz="6" w:space="0" w:color="auto"/>
              <w:right w:val="nil"/>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10665" w:type="dxa"/>
            <w:gridSpan w:val="6"/>
            <w:tcBorders>
              <w:top w:val="single" w:sz="6" w:space="0" w:color="auto"/>
              <w:left w:val="single" w:sz="6" w:space="0" w:color="auto"/>
              <w:bottom w:val="single" w:sz="6" w:space="0" w:color="auto"/>
              <w:right w:val="single" w:sz="6" w:space="0" w:color="000000"/>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b/>
                <w:bCs/>
                <w:color w:val="000000"/>
                <w:kern w:val="0"/>
                <w:sz w:val="23"/>
                <w:szCs w:val="23"/>
              </w:rPr>
              <w:t>杠杆率</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13</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调整后表内外资产余额</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11,801,730.73</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11,745,837.80</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11,543,071.64</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11,209,327.95</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11,174,058.82</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14</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杠杆率（%）</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7.20</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7.05</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7.12</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7.27</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7.08</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14a</w:t>
            </w:r>
          </w:p>
        </w:tc>
        <w:tc>
          <w:tcPr>
            <w:tcW w:w="199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杠杆率a（%）</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7.20</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7.05</w:t>
            </w:r>
          </w:p>
        </w:tc>
        <w:tc>
          <w:tcPr>
            <w:tcW w:w="1725" w:type="dxa"/>
            <w:tcBorders>
              <w:top w:val="single" w:sz="6" w:space="0" w:color="DDDDDD"/>
              <w:left w:val="single" w:sz="6" w:space="0" w:color="DDDDDD"/>
              <w:bottom w:val="single" w:sz="6" w:space="0" w:color="DDDDDD"/>
              <w:right w:val="single" w:sz="6" w:space="0" w:color="DDDDDD"/>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7.12</w:t>
            </w:r>
          </w:p>
        </w:tc>
        <w:tc>
          <w:tcPr>
            <w:tcW w:w="1725" w:type="dxa"/>
            <w:tcBorders>
              <w:top w:val="nil"/>
              <w:left w:val="single" w:sz="6" w:space="0" w:color="auto"/>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7.27</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7.08</w:t>
            </w:r>
          </w:p>
        </w:tc>
      </w:tr>
      <w:tr w:rsidR="00FD58DD" w:rsidRPr="00FD58DD" w:rsidTr="00FD58DD">
        <w:trPr>
          <w:trHeight w:val="300"/>
        </w:trPr>
        <w:tc>
          <w:tcPr>
            <w:tcW w:w="645" w:type="dxa"/>
            <w:tcBorders>
              <w:top w:val="nil"/>
              <w:left w:val="single" w:sz="6" w:space="0" w:color="auto"/>
              <w:bottom w:val="single" w:sz="6" w:space="0" w:color="auto"/>
              <w:right w:val="nil"/>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10665" w:type="dxa"/>
            <w:gridSpan w:val="6"/>
            <w:tcBorders>
              <w:top w:val="single" w:sz="6" w:space="0" w:color="auto"/>
              <w:left w:val="single" w:sz="6" w:space="0" w:color="auto"/>
              <w:bottom w:val="single" w:sz="6" w:space="0" w:color="auto"/>
              <w:right w:val="single" w:sz="6" w:space="0" w:color="000000"/>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b/>
                <w:bCs/>
                <w:color w:val="000000"/>
                <w:kern w:val="0"/>
                <w:sz w:val="23"/>
                <w:szCs w:val="23"/>
              </w:rPr>
              <w:t>流动性覆盖率</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15</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合格优质流动性资产</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16</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现金净流出量</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17</w:t>
            </w:r>
          </w:p>
        </w:tc>
        <w:tc>
          <w:tcPr>
            <w:tcW w:w="199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流动性覆盖率（%）</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single" w:sz="6" w:space="0" w:color="DDDDDD"/>
              <w:left w:val="single" w:sz="6" w:space="0" w:color="DDDDDD"/>
              <w:bottom w:val="single" w:sz="6" w:space="0" w:color="DDDDDD"/>
              <w:right w:val="single" w:sz="6" w:space="0" w:color="DDDDDD"/>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single" w:sz="6" w:space="0" w:color="auto"/>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r>
      <w:tr w:rsidR="00FD58DD" w:rsidRPr="00FD58DD" w:rsidTr="00FD58DD">
        <w:trPr>
          <w:trHeight w:val="300"/>
        </w:trPr>
        <w:tc>
          <w:tcPr>
            <w:tcW w:w="645" w:type="dxa"/>
            <w:tcBorders>
              <w:top w:val="nil"/>
              <w:left w:val="single" w:sz="6" w:space="0" w:color="auto"/>
              <w:bottom w:val="single" w:sz="6" w:space="0" w:color="auto"/>
              <w:right w:val="nil"/>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10665" w:type="dxa"/>
            <w:gridSpan w:val="6"/>
            <w:tcBorders>
              <w:top w:val="single" w:sz="6" w:space="0" w:color="auto"/>
              <w:left w:val="single" w:sz="6" w:space="0" w:color="auto"/>
              <w:bottom w:val="single" w:sz="6" w:space="0" w:color="auto"/>
              <w:right w:val="single" w:sz="6" w:space="0" w:color="000000"/>
            </w:tcBorders>
            <w:shd w:val="clear" w:color="auto" w:fill="D9D9D9"/>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b/>
                <w:bCs/>
                <w:color w:val="000000"/>
                <w:kern w:val="0"/>
                <w:sz w:val="23"/>
                <w:szCs w:val="23"/>
              </w:rPr>
              <w:t>净稳定资金比例</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18</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可用稳定资金合计</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19</w:t>
            </w:r>
          </w:p>
        </w:tc>
        <w:tc>
          <w:tcPr>
            <w:tcW w:w="199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所需稳定资金合计</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single" w:sz="6" w:space="0" w:color="auto"/>
              <w:right w:val="nil"/>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20</w:t>
            </w:r>
          </w:p>
        </w:tc>
        <w:tc>
          <w:tcPr>
            <w:tcW w:w="199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净稳定资金比例（%）</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single" w:sz="6" w:space="0" w:color="DDDDDD"/>
              <w:left w:val="single" w:sz="6" w:space="0" w:color="DDDDDD"/>
              <w:bottom w:val="single" w:sz="6" w:space="0" w:color="DDDDDD"/>
              <w:right w:val="single" w:sz="6" w:space="0" w:color="DDDDDD"/>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single" w:sz="6" w:space="0" w:color="auto"/>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c>
          <w:tcPr>
            <w:tcW w:w="1725" w:type="dxa"/>
            <w:tcBorders>
              <w:top w:val="nil"/>
              <w:left w:val="nil"/>
              <w:bottom w:val="nil"/>
              <w:right w:val="single" w:sz="6" w:space="0" w:color="auto"/>
            </w:tcBorders>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不适用</w:t>
            </w:r>
          </w:p>
        </w:tc>
      </w:tr>
      <w:tr w:rsidR="00FD58DD" w:rsidRPr="00FD58DD" w:rsidTr="00FD58DD">
        <w:trPr>
          <w:trHeight w:val="300"/>
        </w:trPr>
        <w:tc>
          <w:tcPr>
            <w:tcW w:w="645" w:type="dxa"/>
            <w:tcBorders>
              <w:top w:val="nil"/>
              <w:left w:val="single" w:sz="6" w:space="0" w:color="auto"/>
              <w:bottom w:val="single" w:sz="6" w:space="0" w:color="auto"/>
              <w:right w:val="nil"/>
            </w:tcBorders>
            <w:shd w:val="clear" w:color="auto" w:fill="D8D8D8"/>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p>
        </w:tc>
        <w:tc>
          <w:tcPr>
            <w:tcW w:w="10665" w:type="dxa"/>
            <w:gridSpan w:val="6"/>
            <w:tcBorders>
              <w:top w:val="single" w:sz="6" w:space="0" w:color="auto"/>
              <w:left w:val="single" w:sz="6" w:space="0" w:color="auto"/>
              <w:bottom w:val="single" w:sz="6" w:space="0" w:color="auto"/>
              <w:right w:val="single" w:sz="6" w:space="0" w:color="000000"/>
            </w:tcBorders>
            <w:shd w:val="clear" w:color="auto" w:fill="D8D8D8"/>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b/>
                <w:bCs/>
                <w:color w:val="000000"/>
                <w:kern w:val="0"/>
                <w:sz w:val="23"/>
                <w:szCs w:val="23"/>
              </w:rPr>
              <w:t>流动性比例</w:t>
            </w:r>
          </w:p>
        </w:tc>
      </w:tr>
      <w:tr w:rsidR="00FD58DD" w:rsidRPr="00FD58DD" w:rsidTr="00FD58DD">
        <w:trPr>
          <w:trHeight w:val="225"/>
        </w:trPr>
        <w:tc>
          <w:tcPr>
            <w:tcW w:w="6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21</w:t>
            </w:r>
          </w:p>
        </w:tc>
        <w:tc>
          <w:tcPr>
            <w:tcW w:w="19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D58DD" w:rsidRPr="00FD58DD" w:rsidRDefault="00FD58DD" w:rsidP="00FD58DD">
            <w:pPr>
              <w:widowControl/>
              <w:wordWrap w:val="0"/>
              <w:jc w:val="left"/>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流动性比例（%）</w:t>
            </w:r>
          </w:p>
        </w:tc>
        <w:tc>
          <w:tcPr>
            <w:tcW w:w="17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68.00</w:t>
            </w:r>
          </w:p>
        </w:tc>
        <w:tc>
          <w:tcPr>
            <w:tcW w:w="17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61.62</w:t>
            </w:r>
          </w:p>
        </w:tc>
        <w:tc>
          <w:tcPr>
            <w:tcW w:w="1725" w:type="dxa"/>
            <w:tcBorders>
              <w:top w:val="nil"/>
              <w:left w:val="nil"/>
              <w:bottom w:val="single" w:sz="6" w:space="0" w:color="auto"/>
              <w:right w:val="nil"/>
            </w:tcBorders>
            <w:shd w:val="clear" w:color="auto" w:fill="FFFFFF"/>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60.47</w:t>
            </w:r>
          </w:p>
        </w:tc>
        <w:tc>
          <w:tcPr>
            <w:tcW w:w="172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78.55</w:t>
            </w:r>
          </w:p>
        </w:tc>
        <w:tc>
          <w:tcPr>
            <w:tcW w:w="17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D58DD" w:rsidRPr="00FD58DD" w:rsidRDefault="00FD58DD" w:rsidP="00FD58DD">
            <w:pPr>
              <w:widowControl/>
              <w:wordWrap w:val="0"/>
              <w:jc w:val="center"/>
              <w:rPr>
                <w:rFonts w:ascii="微软雅黑" w:eastAsia="微软雅黑" w:hAnsi="微软雅黑" w:cs="宋体" w:hint="eastAsia"/>
                <w:kern w:val="0"/>
                <w:sz w:val="24"/>
                <w:szCs w:val="24"/>
              </w:rPr>
            </w:pPr>
            <w:r w:rsidRPr="00FD58DD">
              <w:rPr>
                <w:rFonts w:ascii="仿宋" w:eastAsia="仿宋" w:hAnsi="仿宋" w:cs="宋体" w:hint="eastAsia"/>
                <w:color w:val="000000"/>
                <w:kern w:val="0"/>
                <w:sz w:val="23"/>
                <w:szCs w:val="23"/>
              </w:rPr>
              <w:t>72.89</w:t>
            </w:r>
          </w:p>
        </w:tc>
      </w:tr>
    </w:tbl>
    <w:p w:rsidR="00FD58DD" w:rsidRPr="00FD58DD" w:rsidRDefault="00FD58DD" w:rsidP="00FD58DD">
      <w:pPr>
        <w:widowControl/>
        <w:spacing w:line="555" w:lineRule="atLeast"/>
        <w:ind w:firstLine="645"/>
        <w:jc w:val="left"/>
        <w:rPr>
          <w:rFonts w:ascii="微软雅黑" w:eastAsia="微软雅黑" w:hAnsi="微软雅黑" w:cs="宋体" w:hint="eastAsia"/>
          <w:color w:val="000000"/>
          <w:kern w:val="0"/>
          <w:sz w:val="24"/>
          <w:szCs w:val="24"/>
        </w:rPr>
      </w:pPr>
      <w:r w:rsidRPr="00FD58DD">
        <w:rPr>
          <w:rFonts w:ascii="Calibri" w:eastAsia="仿宋" w:hAnsi="Calibri" w:cs="Calibri"/>
          <w:color w:val="000000"/>
          <w:kern w:val="0"/>
          <w:sz w:val="32"/>
          <w:szCs w:val="32"/>
        </w:rPr>
        <w:t> </w:t>
      </w:r>
    </w:p>
    <w:p w:rsidR="00FD58DD" w:rsidRPr="00FD58DD" w:rsidRDefault="00FD58DD" w:rsidP="00FD58DD">
      <w:pPr>
        <w:widowControl/>
        <w:spacing w:line="555" w:lineRule="atLeast"/>
        <w:ind w:firstLine="435"/>
        <w:jc w:val="right"/>
        <w:rPr>
          <w:rFonts w:ascii="微软雅黑" w:eastAsia="微软雅黑" w:hAnsi="微软雅黑" w:cs="宋体" w:hint="eastAsia"/>
          <w:color w:val="000000"/>
          <w:kern w:val="0"/>
          <w:sz w:val="24"/>
          <w:szCs w:val="24"/>
        </w:rPr>
      </w:pPr>
      <w:r w:rsidRPr="00FD58DD">
        <w:rPr>
          <w:rFonts w:ascii="Calibri" w:eastAsia="仿宋" w:hAnsi="Calibri" w:cs="Calibri"/>
          <w:color w:val="000000"/>
          <w:kern w:val="0"/>
          <w:sz w:val="23"/>
          <w:szCs w:val="23"/>
        </w:rPr>
        <w:t> </w:t>
      </w:r>
    </w:p>
    <w:p w:rsidR="00FD58DD" w:rsidRPr="00FD58DD" w:rsidRDefault="00FD58DD" w:rsidP="00FD58DD">
      <w:pPr>
        <w:widowControl/>
        <w:spacing w:line="555" w:lineRule="atLeast"/>
        <w:ind w:firstLine="645"/>
        <w:jc w:val="left"/>
        <w:rPr>
          <w:rFonts w:ascii="微软雅黑" w:eastAsia="微软雅黑" w:hAnsi="微软雅黑" w:cs="宋体" w:hint="eastAsia"/>
          <w:color w:val="000000"/>
          <w:kern w:val="0"/>
          <w:sz w:val="24"/>
          <w:szCs w:val="24"/>
        </w:rPr>
      </w:pPr>
      <w:r w:rsidRPr="00FD58DD">
        <w:rPr>
          <w:rFonts w:ascii="Calibri" w:eastAsia="仿宋" w:hAnsi="Calibri" w:cs="Calibri"/>
          <w:color w:val="000000"/>
          <w:kern w:val="0"/>
          <w:sz w:val="32"/>
          <w:szCs w:val="32"/>
        </w:rPr>
        <w:t> </w:t>
      </w:r>
    </w:p>
    <w:p w:rsidR="00FD58DD" w:rsidRPr="00FD58DD" w:rsidRDefault="00FD58DD" w:rsidP="00FD58DD">
      <w:pPr>
        <w:widowControl/>
        <w:spacing w:line="555" w:lineRule="atLeast"/>
        <w:ind w:right="135" w:firstLine="645"/>
        <w:jc w:val="right"/>
        <w:rPr>
          <w:rFonts w:ascii="微软雅黑" w:eastAsia="微软雅黑" w:hAnsi="微软雅黑" w:cs="宋体" w:hint="eastAsia"/>
          <w:color w:val="000000"/>
          <w:kern w:val="0"/>
          <w:sz w:val="24"/>
          <w:szCs w:val="24"/>
        </w:rPr>
      </w:pPr>
      <w:r w:rsidRPr="00FD58DD">
        <w:rPr>
          <w:rFonts w:ascii="仿宋" w:eastAsia="仿宋" w:hAnsi="仿宋" w:cs="宋体" w:hint="eastAsia"/>
          <w:color w:val="000000"/>
          <w:kern w:val="0"/>
          <w:sz w:val="32"/>
          <w:szCs w:val="32"/>
        </w:rPr>
        <w:t>海宁农商银行</w:t>
      </w:r>
    </w:p>
    <w:p w:rsidR="00FD58DD" w:rsidRPr="00FD58DD" w:rsidRDefault="00FD58DD" w:rsidP="00FD58DD">
      <w:pPr>
        <w:widowControl/>
        <w:spacing w:line="555" w:lineRule="atLeast"/>
        <w:ind w:firstLine="645"/>
        <w:jc w:val="right"/>
        <w:rPr>
          <w:rFonts w:ascii="微软雅黑" w:eastAsia="微软雅黑" w:hAnsi="微软雅黑" w:cs="宋体" w:hint="eastAsia"/>
          <w:color w:val="000000"/>
          <w:kern w:val="0"/>
          <w:sz w:val="24"/>
          <w:szCs w:val="24"/>
        </w:rPr>
      </w:pPr>
      <w:r w:rsidRPr="00FD58DD">
        <w:rPr>
          <w:rFonts w:ascii="仿宋" w:eastAsia="仿宋" w:hAnsi="仿宋" w:cs="宋体" w:hint="eastAsia"/>
          <w:color w:val="000000"/>
          <w:kern w:val="0"/>
          <w:sz w:val="32"/>
          <w:szCs w:val="32"/>
        </w:rPr>
        <w:t>2026年4月23日</w:t>
      </w:r>
    </w:p>
    <w:p w:rsidR="00FD58DD" w:rsidRPr="00FD58DD" w:rsidRDefault="00FD58DD" w:rsidP="00FD58DD">
      <w:pPr>
        <w:widowControl/>
        <w:jc w:val="left"/>
        <w:rPr>
          <w:rFonts w:ascii="微软雅黑" w:eastAsia="微软雅黑" w:hAnsi="微软雅黑" w:cs="宋体" w:hint="eastAsia"/>
          <w:color w:val="000000"/>
          <w:kern w:val="0"/>
          <w:sz w:val="24"/>
          <w:szCs w:val="24"/>
        </w:rPr>
      </w:pPr>
    </w:p>
    <w:p w:rsidR="00FD58DD" w:rsidRPr="00FD58DD" w:rsidRDefault="00FD58DD" w:rsidP="00FD58DD">
      <w:pPr>
        <w:widowControl/>
        <w:spacing w:line="360" w:lineRule="atLeast"/>
        <w:jc w:val="center"/>
        <w:rPr>
          <w:rFonts w:ascii="微软雅黑" w:eastAsia="微软雅黑" w:hAnsi="微软雅黑" w:cs="宋体" w:hint="eastAsia"/>
          <w:color w:val="000000"/>
          <w:kern w:val="0"/>
          <w:sz w:val="24"/>
          <w:szCs w:val="24"/>
        </w:rPr>
      </w:pPr>
      <w:r w:rsidRPr="00FD58DD">
        <w:rPr>
          <w:rFonts w:ascii="微软雅黑" w:eastAsia="微软雅黑" w:hAnsi="微软雅黑" w:cs="宋体"/>
          <w:noProof/>
          <w:color w:val="000000"/>
          <w:kern w:val="0"/>
          <w:sz w:val="24"/>
          <w:szCs w:val="24"/>
        </w:rPr>
        <w:lastRenderedPageBreak/>
        <w:drawing>
          <wp:inline distT="0" distB="0" distL="0" distR="0">
            <wp:extent cx="3981450" cy="1000125"/>
            <wp:effectExtent l="0" t="0" r="0" b="9525"/>
            <wp:docPr id="1" name="图片 1" descr="http://www.zjhnrb.com/static/images/logo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zjhnrb.com/static/images/logoal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0" cy="1000125"/>
                    </a:xfrm>
                    <a:prstGeom prst="rect">
                      <a:avLst/>
                    </a:prstGeom>
                    <a:noFill/>
                    <a:ln>
                      <a:noFill/>
                    </a:ln>
                  </pic:spPr>
                </pic:pic>
              </a:graphicData>
            </a:graphic>
          </wp:inline>
        </w:drawing>
      </w:r>
    </w:p>
    <w:p w:rsidR="00FD58DD" w:rsidRPr="00FD58DD" w:rsidRDefault="00FD58DD" w:rsidP="00FD58DD">
      <w:pPr>
        <w:widowControl/>
        <w:spacing w:line="360" w:lineRule="atLeast"/>
        <w:jc w:val="right"/>
        <w:rPr>
          <w:rFonts w:ascii="微软雅黑" w:eastAsia="微软雅黑" w:hAnsi="微软雅黑" w:cs="宋体" w:hint="eastAsia"/>
          <w:color w:val="FFFFFF"/>
          <w:kern w:val="0"/>
          <w:sz w:val="27"/>
          <w:szCs w:val="27"/>
        </w:rPr>
      </w:pPr>
      <w:r w:rsidRPr="00FD58DD">
        <w:rPr>
          <w:rFonts w:ascii="微软雅黑" w:eastAsia="微软雅黑" w:hAnsi="微软雅黑" w:cs="宋体" w:hint="eastAsia"/>
          <w:color w:val="FFFFFF"/>
          <w:kern w:val="0"/>
          <w:sz w:val="27"/>
          <w:szCs w:val="27"/>
        </w:rPr>
        <w:t>地址：浙江省海宁市钱江西路278号</w:t>
      </w:r>
    </w:p>
    <w:p w:rsidR="00FD58DD" w:rsidRPr="00FD58DD" w:rsidRDefault="00FD58DD" w:rsidP="00FD58DD">
      <w:pPr>
        <w:widowControl/>
        <w:spacing w:line="360" w:lineRule="atLeast"/>
        <w:jc w:val="left"/>
        <w:rPr>
          <w:rFonts w:ascii="微软雅黑" w:eastAsia="微软雅黑" w:hAnsi="微软雅黑" w:cs="宋体" w:hint="eastAsia"/>
          <w:color w:val="FFFFFF"/>
          <w:kern w:val="0"/>
          <w:sz w:val="27"/>
          <w:szCs w:val="27"/>
        </w:rPr>
      </w:pPr>
      <w:r w:rsidRPr="00FD58DD">
        <w:rPr>
          <w:rFonts w:ascii="微软雅黑" w:eastAsia="微软雅黑" w:hAnsi="微软雅黑" w:cs="宋体" w:hint="eastAsia"/>
          <w:color w:val="FFFFFF"/>
          <w:kern w:val="0"/>
          <w:sz w:val="27"/>
          <w:szCs w:val="27"/>
        </w:rPr>
        <w:t>客服热线：96596</w:t>
      </w:r>
    </w:p>
    <w:p w:rsidR="00FD58DD" w:rsidRPr="00FD58DD" w:rsidRDefault="00FD58DD" w:rsidP="00FD58DD">
      <w:pPr>
        <w:widowControl/>
        <w:spacing w:line="360" w:lineRule="atLeast"/>
        <w:jc w:val="right"/>
        <w:rPr>
          <w:rFonts w:ascii="微软雅黑" w:eastAsia="微软雅黑" w:hAnsi="微软雅黑" w:cs="宋体" w:hint="eastAsia"/>
          <w:color w:val="FFFFFF"/>
          <w:kern w:val="0"/>
          <w:sz w:val="27"/>
          <w:szCs w:val="27"/>
        </w:rPr>
      </w:pPr>
      <w:hyperlink r:id="rId10" w:tgtFrame="_blank" w:history="1">
        <w:r w:rsidRPr="00FD58DD">
          <w:rPr>
            <w:rFonts w:ascii="微软雅黑" w:eastAsia="微软雅黑" w:hAnsi="微软雅黑" w:cs="宋体" w:hint="eastAsia"/>
            <w:color w:val="8BE044"/>
            <w:kern w:val="0"/>
            <w:sz w:val="27"/>
            <w:szCs w:val="27"/>
            <w:u w:val="single"/>
          </w:rPr>
          <w:t>浙ICP备13014991号</w:t>
        </w:r>
      </w:hyperlink>
      <w:hyperlink r:id="rId11" w:history="1">
        <w:r w:rsidRPr="00FD58DD">
          <w:rPr>
            <w:rFonts w:ascii="微软雅黑" w:eastAsia="微软雅黑" w:hAnsi="微软雅黑" w:cs="宋体" w:hint="eastAsia"/>
            <w:color w:val="8BE044"/>
            <w:kern w:val="0"/>
            <w:sz w:val="27"/>
            <w:szCs w:val="27"/>
            <w:u w:val="single"/>
          </w:rPr>
          <w:t> 浙公网安备33048102000475号</w:t>
        </w:r>
      </w:hyperlink>
    </w:p>
    <w:p w:rsidR="00FD58DD" w:rsidRPr="00FD58DD" w:rsidRDefault="00FD58DD" w:rsidP="00FD58DD">
      <w:pPr>
        <w:widowControl/>
        <w:spacing w:line="360" w:lineRule="atLeast"/>
        <w:jc w:val="left"/>
        <w:rPr>
          <w:rFonts w:ascii="微软雅黑" w:eastAsia="微软雅黑" w:hAnsi="微软雅黑" w:cs="宋体" w:hint="eastAsia"/>
          <w:color w:val="FFFFFF"/>
          <w:kern w:val="0"/>
          <w:sz w:val="27"/>
          <w:szCs w:val="27"/>
        </w:rPr>
      </w:pPr>
      <w:r w:rsidRPr="00FD58DD">
        <w:rPr>
          <w:rFonts w:ascii="微软雅黑" w:eastAsia="微软雅黑" w:hAnsi="微软雅黑" w:cs="宋体" w:hint="eastAsia"/>
          <w:color w:val="FFFFFF"/>
          <w:kern w:val="0"/>
          <w:sz w:val="27"/>
          <w:szCs w:val="27"/>
        </w:rPr>
        <w:t>工信部备案官网</w:t>
      </w:r>
      <w:hyperlink r:id="rId12" w:tgtFrame="_blank" w:history="1">
        <w:r w:rsidRPr="00FD58DD">
          <w:rPr>
            <w:rFonts w:ascii="微软雅黑" w:eastAsia="微软雅黑" w:hAnsi="微软雅黑" w:cs="宋体" w:hint="eastAsia"/>
            <w:color w:val="8BE044"/>
            <w:kern w:val="0"/>
            <w:sz w:val="27"/>
            <w:szCs w:val="27"/>
            <w:u w:val="single"/>
          </w:rPr>
          <w:t> http://beian.miit.gov.cn</w:t>
        </w:r>
      </w:hyperlink>
    </w:p>
    <w:p w:rsidR="00DF2738" w:rsidRPr="00FD58DD" w:rsidRDefault="00DF2738">
      <w:bookmarkStart w:id="0" w:name="_GoBack"/>
      <w:bookmarkEnd w:id="0"/>
    </w:p>
    <w:sectPr w:rsidR="00DF2738" w:rsidRPr="00FD58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B8E" w:rsidRDefault="00B30B8E" w:rsidP="00FD58DD">
      <w:r>
        <w:separator/>
      </w:r>
    </w:p>
  </w:endnote>
  <w:endnote w:type="continuationSeparator" w:id="0">
    <w:p w:rsidR="00B30B8E" w:rsidRDefault="00B30B8E" w:rsidP="00FD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B8E" w:rsidRDefault="00B30B8E" w:rsidP="00FD58DD">
      <w:r>
        <w:separator/>
      </w:r>
    </w:p>
  </w:footnote>
  <w:footnote w:type="continuationSeparator" w:id="0">
    <w:p w:rsidR="00B30B8E" w:rsidRDefault="00B30B8E" w:rsidP="00FD58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12690"/>
    <w:multiLevelType w:val="multilevel"/>
    <w:tmpl w:val="2D1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C5BBE"/>
    <w:multiLevelType w:val="multilevel"/>
    <w:tmpl w:val="9F22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CC"/>
    <w:rsid w:val="00220CBA"/>
    <w:rsid w:val="008C54CC"/>
    <w:rsid w:val="00B30B8E"/>
    <w:rsid w:val="00CB0731"/>
    <w:rsid w:val="00DF2738"/>
    <w:rsid w:val="00FD5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E5B971-4A21-49FF-B239-AFD80584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8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58DD"/>
    <w:rPr>
      <w:sz w:val="18"/>
      <w:szCs w:val="18"/>
    </w:rPr>
  </w:style>
  <w:style w:type="paragraph" w:styleId="a5">
    <w:name w:val="footer"/>
    <w:basedOn w:val="a"/>
    <w:link w:val="a6"/>
    <w:uiPriority w:val="99"/>
    <w:unhideWhenUsed/>
    <w:rsid w:val="00FD58DD"/>
    <w:pPr>
      <w:tabs>
        <w:tab w:val="center" w:pos="4153"/>
        <w:tab w:val="right" w:pos="8306"/>
      </w:tabs>
      <w:snapToGrid w:val="0"/>
      <w:jc w:val="left"/>
    </w:pPr>
    <w:rPr>
      <w:sz w:val="18"/>
      <w:szCs w:val="18"/>
    </w:rPr>
  </w:style>
  <w:style w:type="character" w:customStyle="1" w:styleId="a6">
    <w:name w:val="页脚 字符"/>
    <w:basedOn w:val="a0"/>
    <w:link w:val="a5"/>
    <w:uiPriority w:val="99"/>
    <w:rsid w:val="00FD58DD"/>
    <w:rPr>
      <w:sz w:val="18"/>
      <w:szCs w:val="18"/>
    </w:rPr>
  </w:style>
  <w:style w:type="character" w:styleId="a7">
    <w:name w:val="Hyperlink"/>
    <w:basedOn w:val="a0"/>
    <w:uiPriority w:val="99"/>
    <w:semiHidden/>
    <w:unhideWhenUsed/>
    <w:rsid w:val="00FD58DD"/>
    <w:rPr>
      <w:color w:val="0000FF"/>
      <w:u w:val="single"/>
    </w:rPr>
  </w:style>
  <w:style w:type="paragraph" w:styleId="a8">
    <w:name w:val="Normal (Web)"/>
    <w:basedOn w:val="a"/>
    <w:uiPriority w:val="99"/>
    <w:semiHidden/>
    <w:unhideWhenUsed/>
    <w:rsid w:val="00FD58DD"/>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FD5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028767">
      <w:bodyDiv w:val="1"/>
      <w:marLeft w:val="0"/>
      <w:marRight w:val="0"/>
      <w:marTop w:val="0"/>
      <w:marBottom w:val="0"/>
      <w:divBdr>
        <w:top w:val="none" w:sz="0" w:space="0" w:color="auto"/>
        <w:left w:val="none" w:sz="0" w:space="0" w:color="auto"/>
        <w:bottom w:val="none" w:sz="0" w:space="0" w:color="auto"/>
        <w:right w:val="none" w:sz="0" w:space="0" w:color="auto"/>
      </w:divBdr>
      <w:divsChild>
        <w:div w:id="2085683921">
          <w:marLeft w:val="0"/>
          <w:marRight w:val="0"/>
          <w:marTop w:val="0"/>
          <w:marBottom w:val="0"/>
          <w:divBdr>
            <w:top w:val="none" w:sz="0" w:space="0" w:color="auto"/>
            <w:left w:val="none" w:sz="0" w:space="0" w:color="auto"/>
            <w:bottom w:val="none" w:sz="0" w:space="0" w:color="auto"/>
            <w:right w:val="none" w:sz="0" w:space="0" w:color="auto"/>
          </w:divBdr>
          <w:divsChild>
            <w:div w:id="1744141650">
              <w:marLeft w:val="0"/>
              <w:marRight w:val="0"/>
              <w:marTop w:val="0"/>
              <w:marBottom w:val="0"/>
              <w:divBdr>
                <w:top w:val="none" w:sz="0" w:space="0" w:color="auto"/>
                <w:left w:val="none" w:sz="0" w:space="0" w:color="auto"/>
                <w:bottom w:val="none" w:sz="0" w:space="0" w:color="auto"/>
                <w:right w:val="none" w:sz="0" w:space="0" w:color="auto"/>
              </w:divBdr>
              <w:divsChild>
                <w:div w:id="944383048">
                  <w:marLeft w:val="0"/>
                  <w:marRight w:val="0"/>
                  <w:marTop w:val="0"/>
                  <w:marBottom w:val="0"/>
                  <w:divBdr>
                    <w:top w:val="none" w:sz="0" w:space="0" w:color="auto"/>
                    <w:left w:val="none" w:sz="0" w:space="0" w:color="auto"/>
                    <w:bottom w:val="none" w:sz="0" w:space="0" w:color="auto"/>
                    <w:right w:val="none" w:sz="0" w:space="0" w:color="auto"/>
                  </w:divBdr>
                  <w:divsChild>
                    <w:div w:id="1117062137">
                      <w:marLeft w:val="0"/>
                      <w:marRight w:val="0"/>
                      <w:marTop w:val="0"/>
                      <w:marBottom w:val="0"/>
                      <w:divBdr>
                        <w:top w:val="none" w:sz="0" w:space="0" w:color="auto"/>
                        <w:left w:val="none" w:sz="0" w:space="0" w:color="auto"/>
                        <w:bottom w:val="none" w:sz="0" w:space="0" w:color="auto"/>
                        <w:right w:val="none" w:sz="0" w:space="0" w:color="auto"/>
                      </w:divBdr>
                    </w:div>
                    <w:div w:id="1600917261">
                      <w:marLeft w:val="0"/>
                      <w:marRight w:val="0"/>
                      <w:marTop w:val="0"/>
                      <w:marBottom w:val="0"/>
                      <w:divBdr>
                        <w:top w:val="none" w:sz="0" w:space="0" w:color="auto"/>
                        <w:left w:val="none" w:sz="0" w:space="0" w:color="auto"/>
                        <w:bottom w:val="none" w:sz="0" w:space="0" w:color="auto"/>
                        <w:right w:val="none" w:sz="0" w:space="0" w:color="auto"/>
                      </w:divBdr>
                    </w:div>
                    <w:div w:id="20278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38345">
              <w:marLeft w:val="0"/>
              <w:marRight w:val="0"/>
              <w:marTop w:val="0"/>
              <w:marBottom w:val="0"/>
              <w:divBdr>
                <w:top w:val="none" w:sz="0" w:space="0" w:color="auto"/>
                <w:left w:val="none" w:sz="0" w:space="0" w:color="auto"/>
                <w:bottom w:val="none" w:sz="0" w:space="0" w:color="auto"/>
                <w:right w:val="none" w:sz="0" w:space="0" w:color="auto"/>
              </w:divBdr>
              <w:divsChild>
                <w:div w:id="1269124382">
                  <w:marLeft w:val="0"/>
                  <w:marRight w:val="0"/>
                  <w:marTop w:val="0"/>
                  <w:marBottom w:val="0"/>
                  <w:divBdr>
                    <w:top w:val="none" w:sz="0" w:space="0" w:color="auto"/>
                    <w:left w:val="none" w:sz="0" w:space="0" w:color="auto"/>
                    <w:bottom w:val="none" w:sz="0" w:space="0" w:color="auto"/>
                    <w:right w:val="none" w:sz="0" w:space="0" w:color="auto"/>
                  </w:divBdr>
                  <w:divsChild>
                    <w:div w:id="2138374923">
                      <w:marLeft w:val="0"/>
                      <w:marRight w:val="0"/>
                      <w:marTop w:val="0"/>
                      <w:marBottom w:val="0"/>
                      <w:divBdr>
                        <w:top w:val="none" w:sz="0" w:space="0" w:color="auto"/>
                        <w:left w:val="none" w:sz="0" w:space="0" w:color="auto"/>
                        <w:bottom w:val="none" w:sz="0" w:space="0" w:color="auto"/>
                        <w:right w:val="none" w:sz="0" w:space="0" w:color="auto"/>
                      </w:divBdr>
                    </w:div>
                    <w:div w:id="864945449">
                      <w:marLeft w:val="0"/>
                      <w:marRight w:val="0"/>
                      <w:marTop w:val="0"/>
                      <w:marBottom w:val="0"/>
                      <w:divBdr>
                        <w:top w:val="none" w:sz="0" w:space="0" w:color="auto"/>
                        <w:left w:val="none" w:sz="0" w:space="0" w:color="auto"/>
                        <w:bottom w:val="none" w:sz="0" w:space="0" w:color="auto"/>
                        <w:right w:val="none" w:sz="0" w:space="0" w:color="auto"/>
                      </w:divBdr>
                    </w:div>
                    <w:div w:id="1768580279">
                      <w:marLeft w:val="0"/>
                      <w:marRight w:val="0"/>
                      <w:marTop w:val="0"/>
                      <w:marBottom w:val="0"/>
                      <w:divBdr>
                        <w:top w:val="none" w:sz="0" w:space="0" w:color="auto"/>
                        <w:left w:val="none" w:sz="0" w:space="0" w:color="auto"/>
                        <w:bottom w:val="none" w:sz="0" w:space="0" w:color="auto"/>
                        <w:right w:val="none" w:sz="0" w:space="0" w:color="auto"/>
                      </w:divBdr>
                    </w:div>
                    <w:div w:id="1944796480">
                      <w:marLeft w:val="0"/>
                      <w:marRight w:val="0"/>
                      <w:marTop w:val="0"/>
                      <w:marBottom w:val="0"/>
                      <w:divBdr>
                        <w:top w:val="none" w:sz="0" w:space="0" w:color="auto"/>
                        <w:left w:val="none" w:sz="0" w:space="0" w:color="auto"/>
                        <w:bottom w:val="none" w:sz="0" w:space="0" w:color="auto"/>
                        <w:right w:val="none" w:sz="0" w:space="0" w:color="auto"/>
                      </w:divBdr>
                    </w:div>
                    <w:div w:id="496111675">
                      <w:marLeft w:val="0"/>
                      <w:marRight w:val="0"/>
                      <w:marTop w:val="0"/>
                      <w:marBottom w:val="0"/>
                      <w:divBdr>
                        <w:top w:val="none" w:sz="0" w:space="0" w:color="auto"/>
                        <w:left w:val="none" w:sz="0" w:space="0" w:color="auto"/>
                        <w:bottom w:val="none" w:sz="0" w:space="0" w:color="auto"/>
                        <w:right w:val="none" w:sz="0" w:space="0" w:color="auto"/>
                      </w:divBdr>
                    </w:div>
                    <w:div w:id="1013535254">
                      <w:marLeft w:val="0"/>
                      <w:marRight w:val="0"/>
                      <w:marTop w:val="0"/>
                      <w:marBottom w:val="0"/>
                      <w:divBdr>
                        <w:top w:val="none" w:sz="0" w:space="0" w:color="auto"/>
                        <w:left w:val="none" w:sz="0" w:space="0" w:color="auto"/>
                        <w:bottom w:val="none" w:sz="0" w:space="0" w:color="auto"/>
                        <w:right w:val="none" w:sz="0" w:space="0" w:color="auto"/>
                      </w:divBdr>
                    </w:div>
                    <w:div w:id="1518619840">
                      <w:marLeft w:val="0"/>
                      <w:marRight w:val="0"/>
                      <w:marTop w:val="0"/>
                      <w:marBottom w:val="0"/>
                      <w:divBdr>
                        <w:top w:val="none" w:sz="0" w:space="0" w:color="auto"/>
                        <w:left w:val="none" w:sz="0" w:space="0" w:color="auto"/>
                        <w:bottom w:val="none" w:sz="0" w:space="0" w:color="auto"/>
                        <w:right w:val="none" w:sz="0" w:space="0" w:color="auto"/>
                      </w:divBdr>
                    </w:div>
                    <w:div w:id="1987124144">
                      <w:marLeft w:val="0"/>
                      <w:marRight w:val="0"/>
                      <w:marTop w:val="0"/>
                      <w:marBottom w:val="0"/>
                      <w:divBdr>
                        <w:top w:val="none" w:sz="0" w:space="0" w:color="auto"/>
                        <w:left w:val="none" w:sz="0" w:space="0" w:color="auto"/>
                        <w:bottom w:val="none" w:sz="0" w:space="0" w:color="auto"/>
                        <w:right w:val="none" w:sz="0" w:space="0" w:color="auto"/>
                      </w:divBdr>
                    </w:div>
                    <w:div w:id="70694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13929">
          <w:marLeft w:val="0"/>
          <w:marRight w:val="0"/>
          <w:marTop w:val="0"/>
          <w:marBottom w:val="0"/>
          <w:divBdr>
            <w:top w:val="none" w:sz="0" w:space="0" w:color="auto"/>
            <w:left w:val="none" w:sz="0" w:space="0" w:color="auto"/>
            <w:bottom w:val="none" w:sz="0" w:space="0" w:color="auto"/>
            <w:right w:val="none" w:sz="0" w:space="0" w:color="auto"/>
          </w:divBdr>
          <w:divsChild>
            <w:div w:id="1255169806">
              <w:marLeft w:val="0"/>
              <w:marRight w:val="0"/>
              <w:marTop w:val="0"/>
              <w:marBottom w:val="1200"/>
              <w:divBdr>
                <w:top w:val="none" w:sz="0" w:space="0" w:color="auto"/>
                <w:left w:val="none" w:sz="0" w:space="0" w:color="auto"/>
                <w:bottom w:val="none" w:sz="0" w:space="0" w:color="auto"/>
                <w:right w:val="none" w:sz="0" w:space="0" w:color="auto"/>
              </w:divBdr>
              <w:divsChild>
                <w:div w:id="552153943">
                  <w:marLeft w:val="0"/>
                  <w:marRight w:val="0"/>
                  <w:marTop w:val="1050"/>
                  <w:marBottom w:val="300"/>
                  <w:divBdr>
                    <w:top w:val="none" w:sz="0" w:space="0" w:color="auto"/>
                    <w:left w:val="none" w:sz="0" w:space="0" w:color="auto"/>
                    <w:bottom w:val="none" w:sz="0" w:space="0" w:color="auto"/>
                    <w:right w:val="none" w:sz="0" w:space="0" w:color="auto"/>
                  </w:divBdr>
                </w:div>
                <w:div w:id="7394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4808">
          <w:marLeft w:val="0"/>
          <w:marRight w:val="0"/>
          <w:marTop w:val="0"/>
          <w:marBottom w:val="0"/>
          <w:divBdr>
            <w:top w:val="none" w:sz="0" w:space="0" w:color="auto"/>
            <w:left w:val="none" w:sz="0" w:space="0" w:color="auto"/>
            <w:bottom w:val="none" w:sz="0" w:space="0" w:color="auto"/>
            <w:right w:val="none" w:sz="0" w:space="0" w:color="auto"/>
          </w:divBdr>
          <w:divsChild>
            <w:div w:id="852260356">
              <w:marLeft w:val="0"/>
              <w:marRight w:val="0"/>
              <w:marTop w:val="0"/>
              <w:marBottom w:val="0"/>
              <w:divBdr>
                <w:top w:val="none" w:sz="0" w:space="0" w:color="auto"/>
                <w:left w:val="none" w:sz="0" w:space="0" w:color="auto"/>
                <w:bottom w:val="none" w:sz="0" w:space="0" w:color="auto"/>
                <w:right w:val="none" w:sz="0" w:space="0" w:color="auto"/>
              </w:divBdr>
              <w:divsChild>
                <w:div w:id="1505516458">
                  <w:marLeft w:val="0"/>
                  <w:marRight w:val="0"/>
                  <w:marTop w:val="0"/>
                  <w:marBottom w:val="0"/>
                  <w:divBdr>
                    <w:top w:val="none" w:sz="0" w:space="0" w:color="auto"/>
                    <w:left w:val="none" w:sz="0" w:space="0" w:color="auto"/>
                    <w:bottom w:val="none" w:sz="0" w:space="0" w:color="auto"/>
                    <w:right w:val="none" w:sz="0" w:space="0" w:color="auto"/>
                  </w:divBdr>
                  <w:divsChild>
                    <w:div w:id="1193885716">
                      <w:marLeft w:val="0"/>
                      <w:marRight w:val="0"/>
                      <w:marTop w:val="0"/>
                      <w:marBottom w:val="0"/>
                      <w:divBdr>
                        <w:top w:val="none" w:sz="0" w:space="0" w:color="auto"/>
                        <w:left w:val="none" w:sz="0" w:space="0" w:color="auto"/>
                        <w:bottom w:val="none" w:sz="0" w:space="0" w:color="auto"/>
                        <w:right w:val="single" w:sz="12" w:space="24" w:color="FFFFFF"/>
                      </w:divBdr>
                    </w:div>
                  </w:divsChild>
                </w:div>
                <w:div w:id="394008499">
                  <w:marLeft w:val="0"/>
                  <w:marRight w:val="0"/>
                  <w:marTop w:val="0"/>
                  <w:marBottom w:val="0"/>
                  <w:divBdr>
                    <w:top w:val="none" w:sz="0" w:space="0" w:color="auto"/>
                    <w:left w:val="none" w:sz="0" w:space="0" w:color="auto"/>
                    <w:bottom w:val="none" w:sz="0" w:space="0" w:color="auto"/>
                    <w:right w:val="none" w:sz="0" w:space="0" w:color="auto"/>
                  </w:divBdr>
                  <w:divsChild>
                    <w:div w:id="962730960">
                      <w:marLeft w:val="0"/>
                      <w:marRight w:val="0"/>
                      <w:marTop w:val="0"/>
                      <w:marBottom w:val="0"/>
                      <w:divBdr>
                        <w:top w:val="none" w:sz="0" w:space="0" w:color="auto"/>
                        <w:left w:val="none" w:sz="0" w:space="0" w:color="auto"/>
                        <w:bottom w:val="none" w:sz="0" w:space="0" w:color="auto"/>
                        <w:right w:val="single" w:sz="12" w:space="24" w:color="FFFFFF"/>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eian.miit.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ian.gov.cn/" TargetMode="External"/><Relationship Id="rId5" Type="http://schemas.openxmlformats.org/officeDocument/2006/relationships/footnotes" Target="footnotes.xml"/><Relationship Id="rId10" Type="http://schemas.openxmlformats.org/officeDocument/2006/relationships/hyperlink" Target="http://beian.miit.gov.c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陶静文</dc:creator>
  <cp:keywords/>
  <dc:description/>
  <cp:lastModifiedBy>陶静文</cp:lastModifiedBy>
  <cp:revision>2</cp:revision>
  <dcterms:created xsi:type="dcterms:W3CDTF">2026-05-08T14:26:00Z</dcterms:created>
  <dcterms:modified xsi:type="dcterms:W3CDTF">2026-05-08T14:26:00Z</dcterms:modified>
</cp:coreProperties>
</file>