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8212"/>
        <w:gridCol w:w="47"/>
      </w:tblGrid>
      <w:tr w:rsidR="002557E9" w:rsidRPr="002557E9" w:rsidTr="002557E9">
        <w:trPr>
          <w:trHeight w:val="90"/>
          <w:tblCellSpacing w:w="15" w:type="dxa"/>
        </w:trPr>
        <w:tc>
          <w:tcPr>
            <w:tcW w:w="90" w:type="dxa"/>
            <w:vAlign w:val="center"/>
            <w:hideMark/>
          </w:tcPr>
          <w:p w:rsidR="002557E9" w:rsidRPr="002557E9" w:rsidRDefault="002557E9" w:rsidP="002557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57E9" w:rsidRPr="002557E9" w:rsidRDefault="002557E9" w:rsidP="002557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2557E9" w:rsidRPr="002557E9" w:rsidRDefault="002557E9" w:rsidP="002557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557E9" w:rsidRPr="002557E9" w:rsidTr="00255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7E9" w:rsidRPr="002557E9" w:rsidRDefault="002557E9" w:rsidP="002557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35"/>
              <w:gridCol w:w="47"/>
            </w:tblGrid>
            <w:tr w:rsidR="002557E9" w:rsidRPr="002557E9" w:rsidTr="002557E9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2557E9" w:rsidRPr="002557E9" w:rsidRDefault="002557E9" w:rsidP="002557E9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spacing w:val="-120"/>
                      <w:kern w:val="0"/>
                      <w:sz w:val="2"/>
                      <w:szCs w:val="2"/>
                    </w:rPr>
                  </w:pPr>
                  <w:hyperlink r:id="rId7" w:tooltip="关闭(esc键)" w:history="1">
                    <w:r w:rsidRPr="002557E9">
                      <w:rPr>
                        <w:rFonts w:ascii="Tahoma" w:eastAsia="宋体" w:hAnsi="Tahoma" w:cs="Tahoma"/>
                        <w:color w:val="FFFFFF"/>
                        <w:kern w:val="0"/>
                        <w:sz w:val="33"/>
                        <w:szCs w:val="33"/>
                      </w:rPr>
                      <w:t>×</w:t>
                    </w:r>
                  </w:hyperlink>
                </w:p>
              </w:tc>
            </w:tr>
            <w:tr w:rsidR="002557E9" w:rsidRPr="002557E9" w:rsidTr="002557E9">
              <w:trPr>
                <w:tblCellSpacing w:w="15" w:type="dxa"/>
              </w:trPr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2557E9" w:rsidRPr="002557E9" w:rsidRDefault="002557E9" w:rsidP="002557E9">
                  <w:pPr>
                    <w:widowControl/>
                    <w:ind w:firstLine="25072"/>
                    <w:jc w:val="left"/>
                    <w:rPr>
                      <w:rFonts w:ascii="Tahoma" w:eastAsia="宋体" w:hAnsi="Tahoma" w:cs="Tahoma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2557E9">
                    <w:rPr>
                      <w:rFonts w:ascii="Tahoma" w:eastAsia="宋体" w:hAnsi="Tahoma" w:cs="Tahoma"/>
                      <w:color w:val="666666"/>
                      <w:kern w:val="0"/>
                      <w:sz w:val="18"/>
                      <w:szCs w:val="18"/>
                    </w:rPr>
                    <w:t>loading...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57E9" w:rsidRPr="002557E9" w:rsidRDefault="002557E9" w:rsidP="002557E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557E9" w:rsidRPr="002557E9" w:rsidTr="002557E9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2557E9" w:rsidRPr="002557E9" w:rsidRDefault="002557E9" w:rsidP="002557E9">
                  <w:pPr>
                    <w:widowControl/>
                    <w:ind w:firstLine="25072"/>
                    <w:jc w:val="left"/>
                    <w:rPr>
                      <w:rFonts w:ascii="Tahoma" w:eastAsia="宋体" w:hAnsi="Tahoma" w:cs="Tahoma"/>
                      <w:color w:val="666666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557E9" w:rsidRPr="002557E9" w:rsidRDefault="002557E9" w:rsidP="002557E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557E9" w:rsidRPr="002557E9" w:rsidRDefault="002557E9" w:rsidP="002557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557E9" w:rsidRPr="002557E9" w:rsidTr="002557E9">
        <w:trPr>
          <w:trHeight w:val="90"/>
          <w:tblCellSpacing w:w="15" w:type="dxa"/>
        </w:trPr>
        <w:tc>
          <w:tcPr>
            <w:tcW w:w="90" w:type="dxa"/>
            <w:vAlign w:val="center"/>
            <w:hideMark/>
          </w:tcPr>
          <w:p w:rsidR="002557E9" w:rsidRPr="002557E9" w:rsidRDefault="002557E9" w:rsidP="002557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57E9" w:rsidRPr="002557E9" w:rsidRDefault="002557E9" w:rsidP="002557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2557E9" w:rsidRPr="002557E9" w:rsidRDefault="002557E9" w:rsidP="002557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557E9" w:rsidRPr="002557E9" w:rsidRDefault="002557E9" w:rsidP="002557E9">
      <w:pPr>
        <w:widowControl/>
        <w:spacing w:line="480" w:lineRule="atLeast"/>
        <w:rPr>
          <w:rFonts w:ascii="宋体" w:eastAsia="宋体" w:hAnsi="宋体" w:cs="宋体"/>
          <w:color w:val="666666"/>
          <w:kern w:val="0"/>
          <w:sz w:val="18"/>
          <w:szCs w:val="18"/>
        </w:rPr>
      </w:pPr>
      <w:hyperlink r:id="rId8" w:tgtFrame="_blank" w:history="1">
        <w:r w:rsidRPr="002557E9">
          <w:rPr>
            <w:rFonts w:ascii="宋体" w:eastAsia="宋体" w:hAnsi="宋体" w:cs="宋体" w:hint="eastAsia"/>
            <w:b/>
            <w:bCs/>
            <w:color w:val="C80000"/>
            <w:kern w:val="0"/>
            <w:sz w:val="24"/>
            <w:szCs w:val="24"/>
          </w:rPr>
          <w:t>江西农商联合银行</w:t>
        </w:r>
      </w:hyperlink>
    </w:p>
    <w:p w:rsidR="002557E9" w:rsidRPr="002557E9" w:rsidRDefault="002557E9" w:rsidP="002557E9">
      <w:pPr>
        <w:widowControl/>
        <w:spacing w:line="480" w:lineRule="atLeas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本网站支持IPv6</w:t>
      </w:r>
    </w:p>
    <w:p w:rsidR="002557E9" w:rsidRPr="002557E9" w:rsidRDefault="002557E9" w:rsidP="002557E9">
      <w:pPr>
        <w:widowControl/>
        <w:spacing w:line="480" w:lineRule="atLeas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2557E9">
        <w:rPr>
          <w:rFonts w:ascii="宋体" w:eastAsia="宋体" w:hAnsi="宋体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9153525" cy="1981200"/>
            <wp:effectExtent l="0" t="0" r="9525" b="0"/>
            <wp:docPr id="5" name="图片 5" descr="http://cs.jxnxs.com/xjxl/resource/cms/2024/08/2024082617302362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.jxnxs.com/xjxl/resource/cms/2024/08/202408261730236236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E9" w:rsidRPr="002557E9" w:rsidRDefault="002557E9" w:rsidP="002557E9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0" w:history="1">
        <w:r w:rsidRPr="002557E9">
          <w:rPr>
            <w:rFonts w:ascii="宋体" w:eastAsia="宋体" w:hAnsi="宋体" w:cs="宋体" w:hint="eastAsia"/>
            <w:b/>
            <w:bCs/>
            <w:color w:val="FFFFFF"/>
            <w:kern w:val="0"/>
            <w:szCs w:val="21"/>
          </w:rPr>
          <w:t>首页</w:t>
        </w:r>
      </w:hyperlink>
    </w:p>
    <w:p w:rsidR="002557E9" w:rsidRPr="002557E9" w:rsidRDefault="002557E9" w:rsidP="002557E9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1" w:history="1">
        <w:r w:rsidRPr="002557E9">
          <w:rPr>
            <w:rFonts w:ascii="宋体" w:eastAsia="宋体" w:hAnsi="宋体" w:cs="宋体" w:hint="eastAsia"/>
            <w:b/>
            <w:bCs/>
            <w:color w:val="FFFFFF"/>
            <w:kern w:val="0"/>
            <w:szCs w:val="21"/>
          </w:rPr>
          <w:t>简介</w:t>
        </w:r>
      </w:hyperlink>
    </w:p>
    <w:p w:rsidR="002557E9" w:rsidRPr="002557E9" w:rsidRDefault="002557E9" w:rsidP="002557E9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2" w:history="1">
        <w:r w:rsidRPr="002557E9">
          <w:rPr>
            <w:rFonts w:ascii="宋体" w:eastAsia="宋体" w:hAnsi="宋体" w:cs="宋体" w:hint="eastAsia"/>
            <w:b/>
            <w:bCs/>
            <w:color w:val="AB0000"/>
            <w:kern w:val="0"/>
            <w:szCs w:val="21"/>
          </w:rPr>
          <w:t>新闻动态</w:t>
        </w:r>
      </w:hyperlink>
    </w:p>
    <w:p w:rsidR="002557E9" w:rsidRPr="002557E9" w:rsidRDefault="002557E9" w:rsidP="002557E9">
      <w:pPr>
        <w:widowControl/>
        <w:numPr>
          <w:ilvl w:val="1"/>
          <w:numId w:val="1"/>
        </w:numP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3" w:tgtFrame="_parent" w:history="1">
        <w:r w:rsidRPr="002557E9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本行要闻</w:t>
        </w:r>
      </w:hyperlink>
    </w:p>
    <w:p w:rsidR="002557E9" w:rsidRPr="002557E9" w:rsidRDefault="002557E9" w:rsidP="002557E9">
      <w:pPr>
        <w:widowControl/>
        <w:numPr>
          <w:ilvl w:val="1"/>
          <w:numId w:val="1"/>
        </w:numP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4" w:tgtFrame="_parent" w:history="1">
        <w:r w:rsidRPr="002557E9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工作动态</w:t>
        </w:r>
      </w:hyperlink>
    </w:p>
    <w:p w:rsidR="002557E9" w:rsidRPr="002557E9" w:rsidRDefault="002557E9" w:rsidP="002557E9">
      <w:pPr>
        <w:widowControl/>
        <w:numPr>
          <w:ilvl w:val="1"/>
          <w:numId w:val="1"/>
        </w:numP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5" w:tgtFrame="_parent" w:history="1">
        <w:r w:rsidRPr="002557E9">
          <w:rPr>
            <w:rFonts w:ascii="宋体" w:eastAsia="宋体" w:hAnsi="宋体" w:cs="宋体" w:hint="eastAsia"/>
            <w:color w:val="FF0000"/>
            <w:kern w:val="0"/>
            <w:sz w:val="18"/>
            <w:szCs w:val="18"/>
          </w:rPr>
          <w:t>通知公告</w:t>
        </w:r>
      </w:hyperlink>
    </w:p>
    <w:p w:rsidR="002557E9" w:rsidRPr="002557E9" w:rsidRDefault="002557E9" w:rsidP="002557E9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6" w:history="1">
        <w:r w:rsidRPr="002557E9">
          <w:rPr>
            <w:rFonts w:ascii="宋体" w:eastAsia="宋体" w:hAnsi="宋体" w:cs="宋体" w:hint="eastAsia"/>
            <w:b/>
            <w:bCs/>
            <w:color w:val="FFFFFF"/>
            <w:kern w:val="0"/>
            <w:szCs w:val="21"/>
          </w:rPr>
          <w:t>三农业务</w:t>
        </w:r>
      </w:hyperlink>
    </w:p>
    <w:p w:rsidR="002557E9" w:rsidRPr="002557E9" w:rsidRDefault="002557E9" w:rsidP="002557E9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7" w:history="1">
        <w:r w:rsidRPr="002557E9">
          <w:rPr>
            <w:rFonts w:ascii="宋体" w:eastAsia="宋体" w:hAnsi="宋体" w:cs="宋体" w:hint="eastAsia"/>
            <w:b/>
            <w:bCs/>
            <w:color w:val="FFFFFF"/>
            <w:kern w:val="0"/>
            <w:szCs w:val="21"/>
          </w:rPr>
          <w:t>小微金融</w:t>
        </w:r>
      </w:hyperlink>
    </w:p>
    <w:p w:rsidR="002557E9" w:rsidRPr="002557E9" w:rsidRDefault="002557E9" w:rsidP="002557E9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8" w:history="1">
        <w:r w:rsidRPr="002557E9">
          <w:rPr>
            <w:rFonts w:ascii="宋体" w:eastAsia="宋体" w:hAnsi="宋体" w:cs="宋体" w:hint="eastAsia"/>
            <w:b/>
            <w:bCs/>
            <w:color w:val="FFFFFF"/>
            <w:kern w:val="0"/>
            <w:szCs w:val="21"/>
          </w:rPr>
          <w:t>电子银行</w:t>
        </w:r>
      </w:hyperlink>
    </w:p>
    <w:p w:rsidR="002557E9" w:rsidRPr="002557E9" w:rsidRDefault="002557E9" w:rsidP="002557E9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9" w:history="1">
        <w:r w:rsidRPr="002557E9">
          <w:rPr>
            <w:rFonts w:ascii="宋体" w:eastAsia="宋体" w:hAnsi="宋体" w:cs="宋体" w:hint="eastAsia"/>
            <w:b/>
            <w:bCs/>
            <w:color w:val="FFFFFF"/>
            <w:kern w:val="0"/>
            <w:szCs w:val="21"/>
          </w:rPr>
          <w:t>百福理财</w:t>
        </w:r>
      </w:hyperlink>
    </w:p>
    <w:p w:rsidR="002557E9" w:rsidRPr="002557E9" w:rsidRDefault="002557E9" w:rsidP="002557E9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20" w:history="1">
        <w:r w:rsidRPr="002557E9">
          <w:rPr>
            <w:rFonts w:ascii="宋体" w:eastAsia="宋体" w:hAnsi="宋体" w:cs="宋体" w:hint="eastAsia"/>
            <w:b/>
            <w:bCs/>
            <w:color w:val="FFFFFF"/>
            <w:kern w:val="0"/>
            <w:szCs w:val="21"/>
          </w:rPr>
          <w:t>产品服务</w:t>
        </w:r>
      </w:hyperlink>
    </w:p>
    <w:p w:rsidR="002557E9" w:rsidRPr="002557E9" w:rsidRDefault="002557E9" w:rsidP="002557E9">
      <w:pPr>
        <w:widowControl/>
        <w:shd w:val="clear" w:color="auto" w:fill="FFFFFF"/>
        <w:spacing w:line="495" w:lineRule="atLeast"/>
        <w:rPr>
          <w:rFonts w:ascii="宋体" w:eastAsia="宋体" w:hAnsi="宋体" w:cs="宋体" w:hint="eastAsia"/>
          <w:b/>
          <w:bCs/>
          <w:color w:val="FFFFFF"/>
          <w:kern w:val="0"/>
          <w:szCs w:val="21"/>
        </w:rPr>
      </w:pPr>
      <w:r w:rsidRPr="002557E9">
        <w:rPr>
          <w:rFonts w:ascii="宋体" w:eastAsia="宋体" w:hAnsi="宋体" w:cs="宋体" w:hint="eastAsia"/>
          <w:b/>
          <w:bCs/>
          <w:color w:val="FFFFFF"/>
          <w:kern w:val="0"/>
          <w:szCs w:val="21"/>
        </w:rPr>
        <w:t>新闻动态</w:t>
      </w:r>
    </w:p>
    <w:p w:rsidR="002557E9" w:rsidRPr="002557E9" w:rsidRDefault="002557E9" w:rsidP="002557E9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557E9">
        <w:rPr>
          <w:rFonts w:ascii="宋体" w:eastAsia="宋体" w:hAnsi="Symbol" w:cs="宋体"/>
          <w:color w:val="333333"/>
          <w:kern w:val="0"/>
          <w:szCs w:val="21"/>
        </w:rPr>
        <w:t></w:t>
      </w:r>
      <w:r w:rsidRPr="002557E9">
        <w:rPr>
          <w:rFonts w:ascii="宋体" w:eastAsia="宋体" w:hAnsi="宋体" w:cs="宋体"/>
          <w:color w:val="333333"/>
          <w:kern w:val="0"/>
          <w:szCs w:val="21"/>
        </w:rPr>
        <w:t xml:space="preserve">  </w:t>
      </w:r>
      <w:hyperlink r:id="rId21" w:history="1">
        <w:r w:rsidRPr="002557E9">
          <w:rPr>
            <w:rFonts w:ascii="宋体" w:eastAsia="宋体" w:hAnsi="宋体" w:cs="宋体" w:hint="eastAsia"/>
            <w:color w:val="333333"/>
            <w:kern w:val="0"/>
            <w:szCs w:val="21"/>
          </w:rPr>
          <w:t>本行要闻</w:t>
        </w:r>
      </w:hyperlink>
    </w:p>
    <w:p w:rsidR="002557E9" w:rsidRPr="002557E9" w:rsidRDefault="002557E9" w:rsidP="002557E9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557E9">
        <w:rPr>
          <w:rFonts w:ascii="宋体" w:eastAsia="宋体" w:hAnsi="Symbol" w:cs="宋体"/>
          <w:color w:val="333333"/>
          <w:kern w:val="0"/>
          <w:szCs w:val="21"/>
        </w:rPr>
        <w:t></w:t>
      </w:r>
      <w:r w:rsidRPr="002557E9">
        <w:rPr>
          <w:rFonts w:ascii="宋体" w:eastAsia="宋体" w:hAnsi="宋体" w:cs="宋体"/>
          <w:color w:val="333333"/>
          <w:kern w:val="0"/>
          <w:szCs w:val="21"/>
        </w:rPr>
        <w:t xml:space="preserve">  </w:t>
      </w:r>
      <w:hyperlink r:id="rId22" w:history="1">
        <w:r w:rsidRPr="002557E9">
          <w:rPr>
            <w:rFonts w:ascii="宋体" w:eastAsia="宋体" w:hAnsi="宋体" w:cs="宋体" w:hint="eastAsia"/>
            <w:color w:val="333333"/>
            <w:kern w:val="0"/>
            <w:szCs w:val="21"/>
          </w:rPr>
          <w:t>工作动态</w:t>
        </w:r>
      </w:hyperlink>
    </w:p>
    <w:p w:rsidR="002557E9" w:rsidRPr="002557E9" w:rsidRDefault="002557E9" w:rsidP="002557E9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557E9">
        <w:rPr>
          <w:rFonts w:ascii="宋体" w:eastAsia="宋体" w:hAnsi="Symbol" w:cs="宋体"/>
          <w:color w:val="333333"/>
          <w:kern w:val="0"/>
          <w:szCs w:val="21"/>
        </w:rPr>
        <w:t></w:t>
      </w:r>
      <w:r w:rsidRPr="002557E9">
        <w:rPr>
          <w:rFonts w:ascii="宋体" w:eastAsia="宋体" w:hAnsi="宋体" w:cs="宋体"/>
          <w:color w:val="333333"/>
          <w:kern w:val="0"/>
          <w:szCs w:val="21"/>
        </w:rPr>
        <w:t xml:space="preserve">  </w:t>
      </w:r>
      <w:hyperlink r:id="rId23" w:history="1">
        <w:r w:rsidRPr="002557E9">
          <w:rPr>
            <w:rFonts w:ascii="宋体" w:eastAsia="宋体" w:hAnsi="宋体" w:cs="宋体" w:hint="eastAsia"/>
            <w:color w:val="333333"/>
            <w:kern w:val="0"/>
            <w:szCs w:val="21"/>
          </w:rPr>
          <w:t>通知公告</w:t>
        </w:r>
      </w:hyperlink>
    </w:p>
    <w:p w:rsidR="002557E9" w:rsidRPr="002557E9" w:rsidRDefault="002557E9" w:rsidP="002557E9">
      <w:pPr>
        <w:widowControl/>
        <w:shd w:val="clear" w:color="auto" w:fill="FFFFFF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2557E9">
        <w:rPr>
          <w:rFonts w:ascii="宋体" w:eastAsia="宋体" w:hAnsi="宋体" w:cs="宋体"/>
          <w:noProof/>
          <w:color w:val="666666"/>
          <w:kern w:val="0"/>
          <w:sz w:val="18"/>
          <w:szCs w:val="18"/>
        </w:rPr>
        <w:lastRenderedPageBreak/>
        <w:drawing>
          <wp:inline distT="0" distB="0" distL="0" distR="0">
            <wp:extent cx="2314575" cy="676275"/>
            <wp:effectExtent l="0" t="0" r="9525" b="9525"/>
            <wp:docPr id="4" name="图片 4" descr="http://cs.jxnxs.com/eportal/fileDir/ytnsyh/resource/cms/2014/02/2014022611061371013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.jxnxs.com/eportal/fileDir/ytnsyh/resource/cms/2014/02/2014022611061371013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E9" w:rsidRPr="002557E9" w:rsidRDefault="002557E9" w:rsidP="002557E9">
      <w:pPr>
        <w:widowControl/>
        <w:shd w:val="clear" w:color="auto" w:fill="FFFFFF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2557E9">
        <w:rPr>
          <w:rFonts w:ascii="宋体" w:eastAsia="宋体" w:hAnsi="宋体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2333625" cy="685800"/>
            <wp:effectExtent l="0" t="0" r="9525" b="0"/>
            <wp:docPr id="3" name="图片 3" descr="http://cs.jxnxs.com/eportal/fileDir/ytnsyh/resource/cms/2014/02/2014022011464125227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.jxnxs.com/eportal/fileDir/ytnsyh/resource/cms/2014/02/2014022011464125227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E9" w:rsidRPr="002557E9" w:rsidRDefault="002557E9" w:rsidP="002557E9">
      <w:pPr>
        <w:widowControl/>
        <w:shd w:val="clear" w:color="auto" w:fill="FFFFFF"/>
        <w:spacing w:line="450" w:lineRule="atLeas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您所在的位置： </w:t>
      </w:r>
      <w:hyperlink r:id="rId28" w:tgtFrame="_parent" w:history="1">
        <w:r w:rsidRPr="002557E9">
          <w:rPr>
            <w:rFonts w:ascii="宋体" w:eastAsia="宋体" w:hAnsi="宋体" w:cs="宋体" w:hint="eastAsia"/>
            <w:color w:val="666666"/>
            <w:kern w:val="0"/>
            <w:sz w:val="18"/>
            <w:szCs w:val="18"/>
          </w:rPr>
          <w:t>新闻动态</w:t>
        </w:r>
      </w:hyperlink>
      <w:r w:rsidRPr="002557E9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 &gt; </w:t>
      </w:r>
      <w:hyperlink r:id="rId29" w:tgtFrame="_parent" w:history="1">
        <w:r w:rsidRPr="002557E9">
          <w:rPr>
            <w:rFonts w:ascii="宋体" w:eastAsia="宋体" w:hAnsi="宋体" w:cs="宋体" w:hint="eastAsia"/>
            <w:color w:val="666666"/>
            <w:kern w:val="0"/>
            <w:sz w:val="18"/>
            <w:szCs w:val="18"/>
          </w:rPr>
          <w:t>通知公告</w:t>
        </w:r>
      </w:hyperlink>
    </w:p>
    <w:p w:rsidR="002557E9" w:rsidRPr="002557E9" w:rsidRDefault="002557E9" w:rsidP="002557E9">
      <w:pPr>
        <w:widowControl/>
        <w:shd w:val="clear" w:color="auto" w:fill="FFFFFF"/>
        <w:jc w:val="center"/>
        <w:outlineLvl w:val="1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  <w:r w:rsidRPr="002557E9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峡江农商银行2025年度资本充足率信息披露报告</w:t>
      </w:r>
    </w:p>
    <w:p w:rsidR="002557E9" w:rsidRPr="002557E9" w:rsidRDefault="002557E9" w:rsidP="002557E9">
      <w:pPr>
        <w:widowControl/>
        <w:shd w:val="clear" w:color="auto" w:fill="FFFFFF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pict>
          <v:rect id="_x0000_i1028" style="width:0;height:1.5pt" o:hralign="center" o:hrstd="t" o:hrnoshade="t" o:hr="t" fillcolor="#eee" stroked="f"/>
        </w:pict>
      </w:r>
    </w:p>
    <w:p w:rsidR="002557E9" w:rsidRPr="002557E9" w:rsidRDefault="002557E9" w:rsidP="002557E9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江西峡江农村商业银行股份有限公司，2016年6月正式改制为峡江农商银行。截止2025年末，全行下辖13个支行，面向客户提供存款、贷款、国内结算、票据、代理保险、理财、信用卡、电子银行等多元化金融产品及服务。</w:t>
      </w:r>
    </w:p>
    <w:p w:rsidR="002557E9" w:rsidRPr="002557E9" w:rsidRDefault="002557E9" w:rsidP="002557E9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一、披露依据</w:t>
      </w:r>
    </w:p>
    <w:p w:rsidR="002557E9" w:rsidRPr="002557E9" w:rsidRDefault="002557E9" w:rsidP="002557E9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本报告根据《商业银行资本管理办法》（国家金融监督管理总局令2023年第4号）等相关规定编制并披露。</w:t>
      </w:r>
    </w:p>
    <w:p w:rsidR="002557E9" w:rsidRPr="002557E9" w:rsidRDefault="002557E9" w:rsidP="002557E9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二、关键审慎监管指标</w:t>
      </w:r>
    </w:p>
    <w:p w:rsidR="002557E9" w:rsidRPr="002557E9" w:rsidRDefault="002557E9" w:rsidP="002557E9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截至2025年12月末，本行的核心一级资本62160.19万元，资本净额85003.25万元，具体情况如下表：</w:t>
      </w:r>
    </w:p>
    <w:p w:rsidR="002557E9" w:rsidRPr="002557E9" w:rsidRDefault="002557E9" w:rsidP="002557E9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关键审慎监管指标    单位：万元、%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830"/>
        <w:gridCol w:w="1065"/>
        <w:gridCol w:w="1065"/>
      </w:tblGrid>
      <w:tr w:rsidR="002557E9" w:rsidRPr="002557E9" w:rsidTr="002557E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2025年12月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2024年12月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可用资本（数额）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核心一级资本净额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62160.2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57699.7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资本净额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85003.3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84101.3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风险加权资产（数额）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信用风险加权资产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405029.4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371945.4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操作风险加权资产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43737.5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40975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风险加权资产合计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448766.9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412920.4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资本充足率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核心一级资本充足率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14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资本充足率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20.4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杠杆率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调整后表内外资产余额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820103.9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720216.4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杠杆率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8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杠杆率a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8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流动性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优质流动性资产充足率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490.1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流动性比例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76.1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62.2</w:t>
            </w:r>
          </w:p>
        </w:tc>
      </w:tr>
      <w:tr w:rsidR="002557E9" w:rsidRPr="002557E9" w:rsidTr="002557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流动性匹配率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176.3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163.6</w:t>
            </w:r>
          </w:p>
        </w:tc>
      </w:tr>
    </w:tbl>
    <w:p w:rsidR="002557E9" w:rsidRPr="002557E9" w:rsidRDefault="002557E9" w:rsidP="002557E9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三、资本构成</w:t>
      </w:r>
    </w:p>
    <w:p w:rsidR="002557E9" w:rsidRPr="002557E9" w:rsidRDefault="002557E9" w:rsidP="002557E9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截至2025年12月末，本行的资本由核心一级资本及其他资本构成，核心一级资本由实收资本、资本公积、盈余公积、一般风险准备、未分配利润及其他综合收益构成；其他资本为超额损失准备。具体构成如下表：</w:t>
      </w:r>
    </w:p>
    <w:p w:rsidR="002557E9" w:rsidRPr="002557E9" w:rsidRDefault="002557E9" w:rsidP="002557E9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资本构成          单位：万元、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4350"/>
        <w:gridCol w:w="1065"/>
      </w:tblGrid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2025年12月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实收资本和资本公积可计入部分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19189.7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留存收益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43972.9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盈余公积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7322.2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一般风险准备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20369.6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未分配利润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16281.1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累计其他综合收益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-773.1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监管调整前的核心一级资本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62389.5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商誉（扣除递延税负债）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0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其他无形资产（土地使用权除外）（扣除递延税负债）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229.3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依赖未来盈利的由经营亏损引起的净递延税资产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0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损失准备缺口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0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直接或间接持有本银行的普通股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0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持有的金融机构一级资本工具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0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监管规定的其他应从核心一级资本中扣除的项目合计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0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核心一级资本监管调整总和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229.3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核心一级资本净额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62160.２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监管认可的其他资本工具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0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超额损失准备可计入部分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22843.１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监管调整前的其他资本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22843.１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持有的金融机构二级资本工具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0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持有本银行或第三档商业银行的其他资本工具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0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监管规定的其他应从其他资本中扣除的项目合计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0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其他资本监管调整总和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0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其他资本净额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22843.１</w:t>
            </w:r>
          </w:p>
        </w:tc>
      </w:tr>
      <w:tr w:rsidR="002557E9" w:rsidRPr="002557E9" w:rsidTr="002557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总资本净额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7E9" w:rsidRPr="002557E9" w:rsidRDefault="002557E9" w:rsidP="002557E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</w:pPr>
            <w:r w:rsidRPr="002557E9">
              <w:rPr>
                <w:rFonts w:ascii="宋体" w:eastAsia="宋体" w:hAnsi="宋体" w:cs="宋体" w:hint="eastAsia"/>
                <w:color w:val="343333"/>
                <w:kern w:val="0"/>
                <w:sz w:val="18"/>
                <w:szCs w:val="18"/>
              </w:rPr>
              <w:t>85003.３</w:t>
            </w:r>
          </w:p>
        </w:tc>
      </w:tr>
    </w:tbl>
    <w:p w:rsidR="002557E9" w:rsidRPr="002557E9" w:rsidRDefault="002557E9" w:rsidP="002557E9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</w:t>
      </w:r>
    </w:p>
    <w:p w:rsidR="002557E9" w:rsidRPr="002557E9" w:rsidRDefault="002557E9" w:rsidP="002557E9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</w:t>
      </w:r>
    </w:p>
    <w:p w:rsidR="002557E9" w:rsidRPr="002557E9" w:rsidRDefault="002557E9" w:rsidP="002557E9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江西峡江农村商业银行股份有限公司</w:t>
      </w:r>
    </w:p>
    <w:p w:rsidR="002557E9" w:rsidRPr="002557E9" w:rsidRDefault="002557E9" w:rsidP="002557E9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lastRenderedPageBreak/>
        <w:t xml:space="preserve">　　2026年5月6日</w:t>
      </w:r>
    </w:p>
    <w:p w:rsidR="002557E9" w:rsidRPr="002557E9" w:rsidRDefault="002557E9" w:rsidP="002557E9">
      <w:pPr>
        <w:widowControl/>
        <w:spacing w:line="495" w:lineRule="atLeast"/>
        <w:jc w:val="center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30" w:tgtFrame="_blank" w:history="1">
        <w:r w:rsidRPr="002557E9">
          <w:rPr>
            <w:rFonts w:ascii="宋体" w:eastAsia="宋体" w:hAnsi="宋体" w:cs="宋体" w:hint="eastAsia"/>
            <w:color w:val="FFFFFF"/>
            <w:kern w:val="0"/>
            <w:sz w:val="18"/>
            <w:szCs w:val="18"/>
          </w:rPr>
          <w:t>联系我们</w:t>
        </w:r>
      </w:hyperlink>
      <w:r w:rsidRPr="002557E9">
        <w:rPr>
          <w:rFonts w:ascii="宋体" w:eastAsia="宋体" w:hAnsi="宋体" w:cs="宋体" w:hint="eastAsia"/>
          <w:color w:val="FFFFFF"/>
          <w:kern w:val="0"/>
          <w:sz w:val="18"/>
          <w:szCs w:val="18"/>
        </w:rPr>
        <w:t> | </w:t>
      </w:r>
      <w:hyperlink r:id="rId31" w:tgtFrame="_blank" w:history="1">
        <w:r w:rsidRPr="002557E9">
          <w:rPr>
            <w:rFonts w:ascii="宋体" w:eastAsia="宋体" w:hAnsi="宋体" w:cs="宋体" w:hint="eastAsia"/>
            <w:color w:val="FFFFFF"/>
            <w:kern w:val="0"/>
            <w:sz w:val="18"/>
            <w:szCs w:val="18"/>
          </w:rPr>
          <w:t>网站声明</w:t>
        </w:r>
      </w:hyperlink>
      <w:r w:rsidRPr="002557E9">
        <w:rPr>
          <w:rFonts w:ascii="宋体" w:eastAsia="宋体" w:hAnsi="宋体" w:cs="宋体" w:hint="eastAsia"/>
          <w:color w:val="FFFFFF"/>
          <w:kern w:val="0"/>
          <w:sz w:val="18"/>
          <w:szCs w:val="18"/>
        </w:rPr>
        <w:t> | </w:t>
      </w:r>
      <w:hyperlink r:id="rId32" w:tgtFrame="_blank" w:history="1">
        <w:r w:rsidRPr="002557E9">
          <w:rPr>
            <w:rFonts w:ascii="宋体" w:eastAsia="宋体" w:hAnsi="宋体" w:cs="宋体" w:hint="eastAsia"/>
            <w:color w:val="FFFFFF"/>
            <w:kern w:val="0"/>
            <w:sz w:val="18"/>
            <w:szCs w:val="18"/>
          </w:rPr>
          <w:t>网站地图</w:t>
        </w:r>
      </w:hyperlink>
      <w:r w:rsidRPr="002557E9">
        <w:rPr>
          <w:rFonts w:ascii="宋体" w:eastAsia="宋体" w:hAnsi="宋体" w:cs="宋体" w:hint="eastAsia"/>
          <w:color w:val="FFFFFF"/>
          <w:kern w:val="0"/>
          <w:sz w:val="18"/>
          <w:szCs w:val="18"/>
        </w:rPr>
        <w:t> | </w:t>
      </w:r>
      <w:hyperlink r:id="rId33" w:tgtFrame="_blank" w:history="1">
        <w:r w:rsidRPr="002557E9">
          <w:rPr>
            <w:rFonts w:ascii="宋体" w:eastAsia="宋体" w:hAnsi="宋体" w:cs="宋体" w:hint="eastAsia"/>
            <w:color w:val="FFFFFF"/>
            <w:kern w:val="0"/>
            <w:sz w:val="18"/>
            <w:szCs w:val="18"/>
          </w:rPr>
          <w:t>人才招聘</w:t>
        </w:r>
      </w:hyperlink>
    </w:p>
    <w:p w:rsidR="002557E9" w:rsidRPr="002557E9" w:rsidRDefault="002557E9" w:rsidP="002557E9">
      <w:pPr>
        <w:widowControl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2557E9">
        <w:rPr>
          <w:rFonts w:ascii="宋体" w:eastAsia="宋体" w:hAnsi="宋体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476250" cy="476250"/>
            <wp:effectExtent l="0" t="0" r="0" b="0"/>
            <wp:docPr id="2" name="图片 2" descr="http://cs.jxnxs.com/xjxl/uiFramework/commonResource/image/2018060412192349485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.jxnxs.com/xjxl/uiFramework/commonResource/image/2018060412192349485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E9" w:rsidRPr="002557E9" w:rsidRDefault="002557E9" w:rsidP="002557E9">
      <w:pPr>
        <w:widowControl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    </w:t>
      </w:r>
      <w:r w:rsidRPr="002557E9">
        <w:rPr>
          <w:rFonts w:ascii="宋体" w:eastAsia="宋体" w:hAnsi="宋体" w:cs="宋体"/>
          <w:noProof/>
          <w:color w:val="333333"/>
          <w:kern w:val="0"/>
          <w:sz w:val="18"/>
          <w:szCs w:val="18"/>
        </w:rPr>
        <w:drawing>
          <wp:inline distT="0" distB="0" distL="0" distR="0">
            <wp:extent cx="190500" cy="190500"/>
            <wp:effectExtent l="0" t="0" r="0" b="0"/>
            <wp:docPr id="1" name="图片 1" descr="http://cs.jxnxs.com/xjxl/uiFramework/commonResource/image/2018051415160270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s.jxnxs.com/xjxl/uiFramework/commonResource/image/2018051415160270313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7E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赣公网安备 36010902000128号</w:t>
      </w:r>
    </w:p>
    <w:p w:rsidR="002557E9" w:rsidRPr="002557E9" w:rsidRDefault="002557E9" w:rsidP="002557E9">
      <w:pPr>
        <w:widowControl/>
        <w:spacing w:before="45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版权所有 @江西峡江农商银行 备号：赣B2-20050068号-1</w:t>
      </w:r>
    </w:p>
    <w:p w:rsidR="002557E9" w:rsidRPr="002557E9" w:rsidRDefault="002557E9" w:rsidP="002557E9">
      <w:pPr>
        <w:widowControl/>
        <w:spacing w:after="600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2557E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电话：0791-0000000 邮政编码：33350</w:t>
      </w:r>
    </w:p>
    <w:p w:rsidR="00DF2738" w:rsidRDefault="00DF2738">
      <w:bookmarkStart w:id="0" w:name="_GoBack"/>
      <w:bookmarkEnd w:id="0"/>
    </w:p>
    <w:sectPr w:rsidR="00DF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410" w:rsidRDefault="00127410" w:rsidP="002557E9">
      <w:r>
        <w:separator/>
      </w:r>
    </w:p>
  </w:endnote>
  <w:endnote w:type="continuationSeparator" w:id="0">
    <w:p w:rsidR="00127410" w:rsidRDefault="00127410" w:rsidP="0025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410" w:rsidRDefault="00127410" w:rsidP="002557E9">
      <w:r>
        <w:separator/>
      </w:r>
    </w:p>
  </w:footnote>
  <w:footnote w:type="continuationSeparator" w:id="0">
    <w:p w:rsidR="00127410" w:rsidRDefault="00127410" w:rsidP="0025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A18D9"/>
    <w:multiLevelType w:val="multilevel"/>
    <w:tmpl w:val="C8D0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CC"/>
    <w:rsid w:val="00127410"/>
    <w:rsid w:val="00220CBA"/>
    <w:rsid w:val="002557E9"/>
    <w:rsid w:val="00647DCC"/>
    <w:rsid w:val="00CB0731"/>
    <w:rsid w:val="00D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62F4FE-8358-4300-8F45-2A0C8D4F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557E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57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5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57E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557E9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2557E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55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">
    <w:name w:val="p1"/>
    <w:basedOn w:val="a"/>
    <w:rsid w:val="00255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">
    <w:name w:val="p2"/>
    <w:basedOn w:val="a"/>
    <w:rsid w:val="00255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0015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8281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17EBD"/>
                <w:right w:val="none" w:sz="0" w:space="0" w:color="auto"/>
              </w:divBdr>
              <w:divsChild>
                <w:div w:id="7418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4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3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8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9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none" w:sz="0" w:space="0" w:color="auto"/>
                            <w:right w:val="single" w:sz="6" w:space="0" w:color="auto"/>
                          </w:divBdr>
                        </w:div>
                      </w:divsChild>
                    </w:div>
                  </w:divsChild>
                </w:div>
                <w:div w:id="12018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84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5462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7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CCCCCC"/>
                            <w:left w:val="single" w:sz="6" w:space="0" w:color="CCCCCC"/>
                            <w:bottom w:val="single" w:sz="6" w:space="8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2455820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077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CECECE"/>
                                <w:left w:val="single" w:sz="6" w:space="8" w:color="CECECE"/>
                                <w:bottom w:val="single" w:sz="6" w:space="8" w:color="CECECE"/>
                                <w:right w:val="single" w:sz="6" w:space="8" w:color="CECECE"/>
                              </w:divBdr>
                              <w:divsChild>
                                <w:div w:id="69607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.jxnxs.com/xjxl/474540/474485/index.html" TargetMode="External"/><Relationship Id="rId18" Type="http://schemas.openxmlformats.org/officeDocument/2006/relationships/hyperlink" Target="http://cs.jxnxs.com/xjxl/474483/474706/474504/index.html" TargetMode="External"/><Relationship Id="rId26" Type="http://schemas.openxmlformats.org/officeDocument/2006/relationships/hyperlink" Target="http://cs.jxnxs.com/xjxl/474811/index.html" TargetMode="External"/><Relationship Id="rId21" Type="http://schemas.openxmlformats.org/officeDocument/2006/relationships/hyperlink" Target="http://cs.jxnxs.com/xjxl/474540/474485/index.html" TargetMode="External"/><Relationship Id="rId34" Type="http://schemas.openxmlformats.org/officeDocument/2006/relationships/image" Target="media/image4.png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cs.jxnxs.com/xjxl/474540/474485/index.html" TargetMode="External"/><Relationship Id="rId17" Type="http://schemas.openxmlformats.org/officeDocument/2006/relationships/hyperlink" Target="http://cs.jxnxs.com/xjxl/474770/474499/index.html" TargetMode="External"/><Relationship Id="rId25" Type="http://schemas.openxmlformats.org/officeDocument/2006/relationships/image" Target="media/image2.jpeg"/><Relationship Id="rId33" Type="http://schemas.openxmlformats.org/officeDocument/2006/relationships/hyperlink" Target="http://cs.jxnxs.com/xjxl/474811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jxnxs.com/xjxl/474790/474792/index.html" TargetMode="External"/><Relationship Id="rId20" Type="http://schemas.openxmlformats.org/officeDocument/2006/relationships/hyperlink" Target="http://cs.jxnxs.com/xjxl/474581/index.html" TargetMode="External"/><Relationship Id="rId29" Type="http://schemas.openxmlformats.org/officeDocument/2006/relationships/hyperlink" Target="http://cs.jxnxs.com/xjxl/474540/474545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s.jxnxs.com/xjxl/474519/474484/index.html" TargetMode="External"/><Relationship Id="rId24" Type="http://schemas.openxmlformats.org/officeDocument/2006/relationships/hyperlink" Target="http://cs.jxnxs.com/xjxl/474540/474545/859583/index.html" TargetMode="External"/><Relationship Id="rId32" Type="http://schemas.openxmlformats.org/officeDocument/2006/relationships/hyperlink" Target="http://cs.jxnxs.com/xjxl/474815/index.html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s.jxnxs.com/xjxl/474540/474545/index.html" TargetMode="External"/><Relationship Id="rId23" Type="http://schemas.openxmlformats.org/officeDocument/2006/relationships/hyperlink" Target="http://cs.jxnxs.com/xjxl/474540/474545/index.html" TargetMode="External"/><Relationship Id="rId28" Type="http://schemas.openxmlformats.org/officeDocument/2006/relationships/hyperlink" Target="http://cs.jxnxs.com/xjxl/474540/474485/index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cs.jxnxs.com/xjxl/474510/index.html" TargetMode="External"/><Relationship Id="rId19" Type="http://schemas.openxmlformats.org/officeDocument/2006/relationships/hyperlink" Target="http://cs.jxnxs.com/xjxl/474552/474494/index.html" TargetMode="External"/><Relationship Id="rId31" Type="http://schemas.openxmlformats.org/officeDocument/2006/relationships/hyperlink" Target="http://cs.jxnxs.com/xjxl/474813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cs.jxnxs.com/xjxl/474540/474543/index.html" TargetMode="External"/><Relationship Id="rId22" Type="http://schemas.openxmlformats.org/officeDocument/2006/relationships/hyperlink" Target="http://cs.jxnxs.com/xjxl/474540/474543/index.html" TargetMode="External"/><Relationship Id="rId27" Type="http://schemas.openxmlformats.org/officeDocument/2006/relationships/image" Target="media/image3.jpeg"/><Relationship Id="rId30" Type="http://schemas.openxmlformats.org/officeDocument/2006/relationships/hyperlink" Target="http://cs.jxnxs.com/xjxl/474519/474808/index.html" TargetMode="External"/><Relationship Id="rId35" Type="http://schemas.openxmlformats.org/officeDocument/2006/relationships/image" Target="media/image5.png"/><Relationship Id="rId8" Type="http://schemas.openxmlformats.org/officeDocument/2006/relationships/hyperlink" Target="http://www.jxnxs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陶静文</dc:creator>
  <cp:keywords/>
  <dc:description/>
  <cp:lastModifiedBy>陶静文</cp:lastModifiedBy>
  <cp:revision>2</cp:revision>
  <dcterms:created xsi:type="dcterms:W3CDTF">2026-05-09T07:35:00Z</dcterms:created>
  <dcterms:modified xsi:type="dcterms:W3CDTF">2026-05-09T07:35:00Z</dcterms:modified>
</cp:coreProperties>
</file>