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E1" w:rsidRPr="00A81EE1" w:rsidRDefault="00A81EE1" w:rsidP="00A81EE1">
      <w:pPr>
        <w:widowControl/>
        <w:shd w:val="clear" w:color="auto" w:fill="FFFFFF"/>
        <w:jc w:val="left"/>
        <w:outlineLvl w:val="0"/>
        <w:rPr>
          <w:rFonts w:ascii="Microsoft YaHei UI" w:eastAsia="Microsoft YaHei UI" w:hAnsi="Microsoft YaHei UI" w:cs="宋体"/>
          <w:b/>
          <w:bCs/>
          <w:spacing w:val="8"/>
          <w:kern w:val="36"/>
          <w:sz w:val="33"/>
          <w:szCs w:val="33"/>
        </w:rPr>
      </w:pPr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36"/>
          <w:sz w:val="33"/>
          <w:szCs w:val="33"/>
        </w:rPr>
        <w:t>广西东兴农村商业银行股份有限公司关于2025年下半</w:t>
      </w:r>
      <w:proofErr w:type="gramStart"/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36"/>
          <w:sz w:val="33"/>
          <w:szCs w:val="33"/>
        </w:rPr>
        <w:t>年资本</w:t>
      </w:r>
      <w:proofErr w:type="gramEnd"/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36"/>
          <w:sz w:val="33"/>
          <w:szCs w:val="33"/>
        </w:rPr>
        <w:t>信息披露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FA1D0" id="矩形 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V6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Z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xsV6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A81EE1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F51F3" id="矩形 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4w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J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XWK4w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A81EE1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22DD5" id="矩形 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Lu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R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d+hLu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A81EE1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>
            <wp:extent cx="3638550" cy="10858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E1" w:rsidRPr="00A81EE1" w:rsidRDefault="00A81EE1" w:rsidP="00A81EE1">
      <w:pPr>
        <w:widowControl/>
        <w:shd w:val="clear" w:color="auto" w:fill="FFFFFF"/>
        <w:ind w:firstLine="512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根据国家金融监督管理总局发布的《商业银行资本管理办法》(国家金融监督管理总局令2023年第4号)的相关规定，广西东兴农村商业银行股份有限公司（以下简称“本行”）需要向投资者和社会公众披露本行资本信息。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1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制度要求</w:t>
      </w:r>
    </w:p>
    <w:p w:rsidR="00A81EE1" w:rsidRPr="00A81EE1" w:rsidRDefault="00A81EE1" w:rsidP="00A81EE1">
      <w:pPr>
        <w:widowControl/>
        <w:shd w:val="clear" w:color="auto" w:fill="FFFFFF"/>
        <w:ind w:firstLine="512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《商业银行资本管理办法》规定第三</w:t>
      </w:r>
      <w:proofErr w:type="gramStart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档</w:t>
      </w:r>
      <w:proofErr w:type="gramEnd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商业银行不计算一级资本充足率，但应满足以下最低资本要求:</w:t>
      </w:r>
    </w:p>
    <w:p w:rsidR="00A81EE1" w:rsidRPr="00A81EE1" w:rsidRDefault="00A81EE1" w:rsidP="00A81EE1">
      <w:pPr>
        <w:widowControl/>
        <w:shd w:val="clear" w:color="auto" w:fill="FFFFFF"/>
        <w:ind w:firstLine="512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(</w:t>
      </w:r>
      <w:proofErr w:type="gramStart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一</w:t>
      </w:r>
      <w:proofErr w:type="gramEnd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)核心一级资本充足率不得低于7.50%；</w:t>
      </w:r>
    </w:p>
    <w:p w:rsidR="00A81EE1" w:rsidRPr="00A81EE1" w:rsidRDefault="00A81EE1" w:rsidP="00A81EE1">
      <w:pPr>
        <w:widowControl/>
        <w:shd w:val="clear" w:color="auto" w:fill="FFFFFF"/>
        <w:ind w:firstLine="512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(二)资本充足率不得低于8.50%；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2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资本充足率计量范围</w:t>
      </w:r>
    </w:p>
    <w:p w:rsidR="00A81EE1" w:rsidRPr="00A81EE1" w:rsidRDefault="00A81EE1" w:rsidP="00A81EE1">
      <w:pPr>
        <w:widowControl/>
        <w:shd w:val="clear" w:color="auto" w:fill="FFFFFF"/>
        <w:ind w:firstLine="512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本行依据《商业银行资本管理办法》进行资本充足率计量，本行无并</w:t>
      </w:r>
      <w:proofErr w:type="gramStart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表金融</w:t>
      </w:r>
      <w:proofErr w:type="gramEnd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机构，风险计量范围为本行总部及辖内各网点所有表内外资产。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3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资本充足率及风险资产情况</w:t>
      </w:r>
    </w:p>
    <w:p w:rsidR="00A81EE1" w:rsidRPr="00A81EE1" w:rsidRDefault="00A81EE1" w:rsidP="00A81EE1">
      <w:pPr>
        <w:widowControl/>
        <w:shd w:val="clear" w:color="auto" w:fill="FFFFFF"/>
        <w:ind w:firstLine="51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lastRenderedPageBreak/>
        <w:t>按照《商业银行资本管理办法》规定，本行机构划分标准适用于三档商业银行，其中信用风险采用权重法计量，市场风险采用简化标准法计量，操作风险采用基本指标法计量。截至2025年12月31日，本行核心一级资本充足率为6.33%，一级资本充足率为13.26%，资本充足率为15.8%，杠杆率为4.43%。一级资本充足率、资本充足率和杠杆率均高于监管部门要求的法定值，核心一级资本充足率低于监管要求1.17个百分点。</w:t>
      </w:r>
    </w:p>
    <w:p w:rsidR="00A81EE1" w:rsidRPr="00A81EE1" w:rsidRDefault="00A81EE1" w:rsidP="00A81EE1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本次需披露报表为KM1监管并</w:t>
      </w:r>
      <w:proofErr w:type="gramStart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表关键</w:t>
      </w:r>
      <w:proofErr w:type="gramEnd"/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审慎监管指标，具体如下表：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816BFAD" wp14:editId="132AE41F">
            <wp:extent cx="5274310" cy="57429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2357CB" wp14:editId="4C52DEAD">
            <wp:extent cx="5274310" cy="160464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BDDAD" wp14:editId="3FAF5861">
            <wp:extent cx="5274310" cy="52965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F1EF1F" wp14:editId="20489F96">
            <wp:extent cx="5274310" cy="5324475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EE1" w:rsidRPr="00A81EE1" w:rsidRDefault="00A81EE1" w:rsidP="00A81EE1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A81EE1" w:rsidRPr="00A81EE1" w:rsidRDefault="00A81EE1" w:rsidP="00A81EE1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A81EE1" w:rsidRPr="00A81EE1" w:rsidRDefault="00A81EE1" w:rsidP="00A81EE1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广西东兴农村商业银行股份有限公司</w:t>
      </w:r>
    </w:p>
    <w:p w:rsidR="00A81EE1" w:rsidRPr="00A81EE1" w:rsidRDefault="00A81EE1" w:rsidP="00A81EE1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2026年5月22日       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br/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lastRenderedPageBreak/>
        <w:br/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供稿 | 计划财务部</w:t>
      </w:r>
    </w:p>
    <w:p w:rsidR="00A81EE1" w:rsidRPr="00A81EE1" w:rsidRDefault="00A81EE1" w:rsidP="00A81EE1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A81EE1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26A35" id="矩形 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0cyw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xIXNHMsCAADD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DF2738" w:rsidRDefault="00DF2738"/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ED"/>
    <w:rsid w:val="00220CBA"/>
    <w:rsid w:val="009507ED"/>
    <w:rsid w:val="00A81EE1"/>
    <w:rsid w:val="00CB0731"/>
    <w:rsid w:val="00D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65AD6-86E3-4627-ABC0-B07ED54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81E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EE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A81EE1"/>
  </w:style>
  <w:style w:type="paragraph" w:styleId="a3">
    <w:name w:val="Normal (Web)"/>
    <w:basedOn w:val="a"/>
    <w:uiPriority w:val="99"/>
    <w:semiHidden/>
    <w:unhideWhenUsed/>
    <w:rsid w:val="00A81E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1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2026-05-25T06:30:00Z</dcterms:created>
  <dcterms:modified xsi:type="dcterms:W3CDTF">2026-05-25T06:31:00Z</dcterms:modified>
</cp:coreProperties>
</file>